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3FDF" w14:textId="77777777" w:rsidR="00CC0DFB" w:rsidRDefault="000B17A1" w:rsidP="000B17A1">
      <w:pPr>
        <w:spacing w:after="0" w:line="259" w:lineRule="auto"/>
        <w:jc w:val="center"/>
        <w:rPr>
          <w:b/>
          <w:bCs/>
          <w:color w:val="C00000"/>
          <w:sz w:val="44"/>
          <w:szCs w:val="44"/>
        </w:rPr>
      </w:pPr>
      <w:r>
        <w:rPr>
          <w:b/>
          <w:bCs/>
          <w:color w:val="C00000"/>
          <w:sz w:val="44"/>
          <w:szCs w:val="44"/>
        </w:rPr>
        <w:t>TORINO</w:t>
      </w:r>
    </w:p>
    <w:p w14:paraId="3CC720CF" w14:textId="77777777" w:rsidR="00CC0DFB" w:rsidRDefault="000B17A1" w:rsidP="000B17A1">
      <w:pPr>
        <w:spacing w:after="0" w:line="259" w:lineRule="auto"/>
        <w:jc w:val="center"/>
        <w:rPr>
          <w:b/>
          <w:bCs/>
          <w:color w:val="C00000"/>
          <w:sz w:val="28"/>
          <w:szCs w:val="28"/>
        </w:rPr>
      </w:pPr>
      <w:r>
        <w:rPr>
          <w:b/>
          <w:bCs/>
          <w:color w:val="C00000"/>
          <w:sz w:val="28"/>
          <w:szCs w:val="28"/>
        </w:rPr>
        <w:t>IL MERCATO DEGLI IMMOBILI AD USO COMMERCIALE E INDUSTRIALE</w:t>
      </w:r>
    </w:p>
    <w:p w14:paraId="1669E752" w14:textId="77777777" w:rsidR="00CC0DFB" w:rsidRDefault="000B17A1" w:rsidP="000B17A1">
      <w:pPr>
        <w:pStyle w:val="Standard"/>
        <w:spacing w:after="0" w:line="259" w:lineRule="auto"/>
        <w:jc w:val="both"/>
      </w:pPr>
      <w:r>
        <w:rPr>
          <w:sz w:val="24"/>
          <w:szCs w:val="24"/>
        </w:rPr>
        <w:t xml:space="preserve">“C’è una lieve contrazione dei prezzi e dei canoni di locazione sul mercato dei </w:t>
      </w:r>
      <w:r>
        <w:rPr>
          <w:b/>
          <w:bCs/>
          <w:i/>
          <w:iCs/>
          <w:sz w:val="24"/>
          <w:szCs w:val="24"/>
        </w:rPr>
        <w:t xml:space="preserve">negozi </w:t>
      </w:r>
      <w:r>
        <w:rPr>
          <w:sz w:val="24"/>
          <w:szCs w:val="24"/>
        </w:rPr>
        <w:t xml:space="preserve">di Torino - afferma </w:t>
      </w:r>
      <w:r>
        <w:rPr>
          <w:b/>
          <w:bCs/>
          <w:sz w:val="24"/>
          <w:szCs w:val="24"/>
        </w:rPr>
        <w:t xml:space="preserve">Sara Beltrame, Affiliata Tecnocasa Immobili per </w:t>
      </w:r>
      <w:r>
        <w:rPr>
          <w:b/>
          <w:bCs/>
          <w:sz w:val="24"/>
          <w:szCs w:val="24"/>
        </w:rPr>
        <w:t>l’Impresa</w:t>
      </w:r>
      <w:r>
        <w:rPr>
          <w:sz w:val="24"/>
          <w:szCs w:val="24"/>
        </w:rPr>
        <w:t xml:space="preserve"> - dove i diversi interventi sul territorio stanno spostando gli interessi di chi desidera aprire attività commerciali, in particolare di ristorazione. Continua a crescere l’interesse per il quartiere Lingotto in seguito all’ apertura del palazzo della “Regione Piemonte” e ai numerosi eventi che si svolgono. Vanno avanti i lavori per la “Città della Salute”. Si cercano, in modo particolare, spazi da destinare alla ristorazione, per aprire supermercati e per insediare studi medici. Diversi intervent</w:t>
      </w:r>
      <w:r>
        <w:rPr>
          <w:sz w:val="24"/>
          <w:szCs w:val="24"/>
        </w:rPr>
        <w:t xml:space="preserve">i sono attesi sul territorio di San Salvario che si conferma uno dei quartieri della movida torinese in cui la domanda arriva principalmente dalla ristorazione e dal settore alimentare che cerca piccoli tagli, per dotati di canna fumaria.  Vanno avanti i lavori per l’intervento nell’ex scalo ferroviario “Vallino” dove, a partire dall'autunno del 2025, ci sarà uno </w:t>
      </w:r>
      <w:proofErr w:type="spellStart"/>
      <w:r>
        <w:rPr>
          <w:sz w:val="24"/>
          <w:szCs w:val="24"/>
        </w:rPr>
        <w:t>student</w:t>
      </w:r>
      <w:proofErr w:type="spellEnd"/>
      <w:r>
        <w:rPr>
          <w:sz w:val="24"/>
          <w:szCs w:val="24"/>
        </w:rPr>
        <w:t xml:space="preserve"> housing, un </w:t>
      </w:r>
      <w:proofErr w:type="spellStart"/>
      <w:r>
        <w:rPr>
          <w:sz w:val="24"/>
          <w:szCs w:val="24"/>
        </w:rPr>
        <w:t>superstore</w:t>
      </w:r>
      <w:proofErr w:type="spellEnd"/>
      <w:r>
        <w:rPr>
          <w:sz w:val="24"/>
          <w:szCs w:val="24"/>
        </w:rPr>
        <w:t>, una piazza con parco a uso pubblico e uno spazio per gli impianti sportivi. Sulle vie di maggior passaggio (via Ma</w:t>
      </w:r>
      <w:r>
        <w:rPr>
          <w:sz w:val="24"/>
          <w:szCs w:val="24"/>
        </w:rPr>
        <w:t>dama Cristina, via Nizza, corso Marconi e corso Vittorio Emanuele) si affitta a 240 € al mq annuo.</w:t>
      </w:r>
    </w:p>
    <w:p w14:paraId="77DBDFCB" w14:textId="77777777" w:rsidR="00CC0DFB" w:rsidRDefault="000B17A1" w:rsidP="000B17A1">
      <w:pPr>
        <w:pStyle w:val="Standard"/>
        <w:spacing w:after="0" w:line="259" w:lineRule="auto"/>
        <w:jc w:val="both"/>
      </w:pPr>
      <w:r>
        <w:rPr>
          <w:sz w:val="24"/>
          <w:szCs w:val="24"/>
        </w:rPr>
        <w:t xml:space="preserve">Attesa per il quartiere Aurora che, grazie al prolungamento della linea 2 della metropolitana verrà collegato con Orbassano e Rebaudengo oltre che con San Mauro </w:t>
      </w:r>
      <w:proofErr w:type="spellStart"/>
      <w:r>
        <w:rPr>
          <w:sz w:val="24"/>
          <w:szCs w:val="24"/>
        </w:rPr>
        <w:t>Pescarito</w:t>
      </w:r>
      <w:proofErr w:type="spellEnd"/>
      <w:r>
        <w:rPr>
          <w:sz w:val="24"/>
          <w:szCs w:val="24"/>
        </w:rPr>
        <w:t xml:space="preserve">. Il progetto rientra nella “Variante 200” che dovrebbe ridisegnare l’intero assetto urbanistico e viario della parte nord della città: Barriera di Milano, Rebaudengo, Falchera, Regio Parco, Barca e Bertolla. Attualmente i negozi si acquistano a 400-500 € al mq. Aurora insieme a Barriera di Milano e </w:t>
      </w:r>
      <w:proofErr w:type="spellStart"/>
      <w:r>
        <w:rPr>
          <w:sz w:val="24"/>
          <w:szCs w:val="24"/>
        </w:rPr>
        <w:t>Vanchiglietta</w:t>
      </w:r>
      <w:proofErr w:type="spellEnd"/>
      <w:r>
        <w:rPr>
          <w:sz w:val="24"/>
          <w:szCs w:val="24"/>
        </w:rPr>
        <w:t xml:space="preserve"> si caratterizzano soprattutto per un tessuto di vicinato.</w:t>
      </w:r>
    </w:p>
    <w:p w14:paraId="492578FD" w14:textId="77777777" w:rsidR="00CC0DFB" w:rsidRDefault="000B17A1" w:rsidP="000B17A1">
      <w:pPr>
        <w:pStyle w:val="Standard"/>
        <w:spacing w:after="0" w:line="259" w:lineRule="auto"/>
        <w:jc w:val="both"/>
      </w:pPr>
      <w:r>
        <w:rPr>
          <w:sz w:val="24"/>
          <w:szCs w:val="24"/>
        </w:rPr>
        <w:t>A Pozzo Strada si segnala un buon andamento per le posizioni nei pressi delle uscite della metropolitana. Sulle vie di maggiore passaggio (piazza Massaua, corso Francia, via Monginevro, corso Peschiera e piazza Rivoli) i prezzi si aggirano intorno a 1100-1400 € al mq con punte di 1800 € al mq in piazza Massaua, mentre i canoni di locazione oscillano da 120 a 140 € al mq annuo. Tengono in modo particolare le attività di erogazione di servizi alle persone.</w:t>
      </w:r>
    </w:p>
    <w:p w14:paraId="3D9F60B2" w14:textId="10DF8989" w:rsidR="00CC0DFB" w:rsidRDefault="000B17A1" w:rsidP="000B17A1">
      <w:pPr>
        <w:pStyle w:val="Standard"/>
        <w:spacing w:after="0" w:line="259" w:lineRule="auto"/>
        <w:jc w:val="both"/>
      </w:pPr>
      <w:r>
        <w:rPr>
          <w:sz w:val="24"/>
          <w:szCs w:val="24"/>
        </w:rPr>
        <w:t>Nel quartiere di Santa Rita è via Tripoli la via con forte passaggio pedonale e maggiore visibilità; infatti,</w:t>
      </w:r>
      <w:r>
        <w:rPr>
          <w:sz w:val="24"/>
          <w:szCs w:val="24"/>
        </w:rPr>
        <w:t xml:space="preserve"> i valori per la vendita e i canoni di locazione sono rispettivamente di 1500-2000 € al mq e 240 € al mq annuo.</w:t>
      </w:r>
    </w:p>
    <w:p w14:paraId="264D5DE3" w14:textId="77777777" w:rsidR="00CC0DFB" w:rsidRDefault="000B17A1" w:rsidP="000B17A1">
      <w:pPr>
        <w:pStyle w:val="Standard"/>
        <w:spacing w:after="0" w:line="259" w:lineRule="auto"/>
        <w:jc w:val="both"/>
      </w:pPr>
      <w:r>
        <w:rPr>
          <w:sz w:val="24"/>
          <w:szCs w:val="24"/>
        </w:rPr>
        <w:t xml:space="preserve">Spostandoci sul comparto dei </w:t>
      </w:r>
      <w:r>
        <w:rPr>
          <w:b/>
          <w:bCs/>
          <w:i/>
          <w:iCs/>
          <w:sz w:val="24"/>
          <w:szCs w:val="24"/>
        </w:rPr>
        <w:t>capannoni</w:t>
      </w:r>
      <w:r>
        <w:rPr>
          <w:sz w:val="24"/>
          <w:szCs w:val="24"/>
        </w:rPr>
        <w:t xml:space="preserve">, in </w:t>
      </w:r>
      <w:r>
        <w:rPr>
          <w:b/>
          <w:bCs/>
          <w:i/>
          <w:iCs/>
          <w:sz w:val="24"/>
          <w:szCs w:val="24"/>
        </w:rPr>
        <w:t>provincia di Torino</w:t>
      </w:r>
      <w:r>
        <w:rPr>
          <w:sz w:val="24"/>
          <w:szCs w:val="24"/>
        </w:rPr>
        <w:t xml:space="preserve"> si cercano spazi per la logistica e la produzione. I nostri affiliati delle agenzie Tecnocasa e Tecnorete Immobili per l’Impresa, ci segnalano che l’area industriale di Carmagnola attira in modo particolare le richieste di società di logistica, aziende e fondi che intendono acquistare terreni e poi sviluppare capannoni di nuova costruzione. La logistica cerca a est della cittadina, non lontano dalla autostrada Torino-Savona. Si registrano anche richieste da parte di società</w:t>
      </w:r>
      <w:r>
        <w:rPr>
          <w:sz w:val="24"/>
          <w:szCs w:val="24"/>
        </w:rPr>
        <w:t xml:space="preserve"> metalmeccaniche e del settore </w:t>
      </w:r>
      <w:proofErr w:type="spellStart"/>
      <w:r>
        <w:rPr>
          <w:sz w:val="24"/>
          <w:szCs w:val="24"/>
        </w:rPr>
        <w:t>dell’automotive</w:t>
      </w:r>
      <w:proofErr w:type="spellEnd"/>
      <w:r>
        <w:rPr>
          <w:sz w:val="24"/>
          <w:szCs w:val="24"/>
        </w:rPr>
        <w:t>.</w:t>
      </w:r>
    </w:p>
    <w:p w14:paraId="0117A369" w14:textId="77777777" w:rsidR="00CC0DFB" w:rsidRDefault="000B17A1" w:rsidP="000B17A1">
      <w:pPr>
        <w:pStyle w:val="Standard"/>
        <w:spacing w:after="0" w:line="259" w:lineRule="auto"/>
        <w:jc w:val="both"/>
      </w:pPr>
      <w:r>
        <w:rPr>
          <w:sz w:val="24"/>
          <w:szCs w:val="24"/>
        </w:rPr>
        <w:t xml:space="preserve">L’offerta è decisamente bassa, gli spazi sono occupati e per cui sempre più aziende acquistano terreni su cui commissionano la costruzione di capannoni. Tra le aziende che hanno costruito i capannoni ci sono anche “Michelin” e “Pirelli”. Chi opera nella logistica chiede metrature più ampie, anche oltre </w:t>
      </w:r>
      <w:proofErr w:type="gramStart"/>
      <w:r>
        <w:rPr>
          <w:sz w:val="24"/>
          <w:szCs w:val="24"/>
        </w:rPr>
        <w:t>10</w:t>
      </w:r>
      <w:proofErr w:type="gramEnd"/>
      <w:r>
        <w:rPr>
          <w:sz w:val="24"/>
          <w:szCs w:val="24"/>
        </w:rPr>
        <w:t xml:space="preserve"> mila mq, per questo motivo si sposta nelle aree dedicate come il polo logistico di </w:t>
      </w:r>
      <w:proofErr w:type="spellStart"/>
      <w:r>
        <w:rPr>
          <w:sz w:val="24"/>
          <w:szCs w:val="24"/>
        </w:rPr>
        <w:t>Pescarito</w:t>
      </w:r>
      <w:proofErr w:type="spellEnd"/>
      <w:r>
        <w:rPr>
          <w:sz w:val="24"/>
          <w:szCs w:val="24"/>
        </w:rPr>
        <w:t xml:space="preserve"> a San Mauro Torinese. Segnaliamo che a Settimo Torinese sorgerà il data center di Tim e Google.</w:t>
      </w:r>
    </w:p>
    <w:p w14:paraId="02E4B3BD" w14:textId="77777777" w:rsidR="00CC0DFB" w:rsidRDefault="000B17A1" w:rsidP="000B17A1">
      <w:pPr>
        <w:pStyle w:val="Standard"/>
        <w:spacing w:after="0" w:line="259" w:lineRule="auto"/>
        <w:jc w:val="both"/>
        <w:rPr>
          <w:sz w:val="24"/>
          <w:szCs w:val="24"/>
        </w:rPr>
      </w:pPr>
      <w:r>
        <w:rPr>
          <w:sz w:val="24"/>
          <w:szCs w:val="24"/>
        </w:rPr>
        <w:t xml:space="preserve">Nella prima cintura Ovest di Torino e quindi nei comuni di Rivoli, Collegno, Grugliasco, Pianezza e Alpignano si evidenzia un buon andamento di mercato sia nel settore industriale in quanto c'è molta richiesta per tagli dai 500 ai 1500 mq sia per l'acquisto che per la locazione che nel settore terziario </w:t>
      </w:r>
      <w:r>
        <w:rPr>
          <w:sz w:val="24"/>
          <w:szCs w:val="24"/>
        </w:rPr>
        <w:lastRenderedPageBreak/>
        <w:t>grazie anche alla presenza della metropolitana e alla vicinanza alla tangenziale. Un intervento importante è stato realizzato da “Max Mara” che ha riqualificato un’area dismessa da cui si sono ricavati uffici moderni, prossimi alla fermata della metropolitana di Collegno. Momento positivo anche per il mercato immobiliare di Caselle, Borgaro Torinese, Venaria e Druento. Nella prima parte del 2024 sono cresciute le compravendite di capannoni. Numerosi anche gli affitti.</w:t>
      </w:r>
    </w:p>
    <w:p w14:paraId="1ACFFCCE" w14:textId="77777777" w:rsidR="00CC0DFB" w:rsidRDefault="00CC0DFB" w:rsidP="000B17A1">
      <w:pPr>
        <w:pStyle w:val="Standard"/>
        <w:spacing w:after="0" w:line="259" w:lineRule="auto"/>
        <w:jc w:val="both"/>
        <w:rPr>
          <w:sz w:val="24"/>
          <w:szCs w:val="24"/>
        </w:rPr>
      </w:pPr>
    </w:p>
    <w:p w14:paraId="38223114" w14:textId="77777777" w:rsidR="00CC0DFB" w:rsidRDefault="000B17A1" w:rsidP="000B17A1">
      <w:pPr>
        <w:spacing w:after="0" w:line="259" w:lineRule="auto"/>
        <w:jc w:val="center"/>
        <w:rPr>
          <w:b/>
          <w:bCs/>
          <w:color w:val="C00000"/>
          <w:sz w:val="28"/>
          <w:szCs w:val="28"/>
        </w:rPr>
      </w:pPr>
      <w:proofErr w:type="gramStart"/>
      <w:r>
        <w:rPr>
          <w:b/>
          <w:bCs/>
          <w:color w:val="C00000"/>
          <w:sz w:val="28"/>
          <w:szCs w:val="28"/>
        </w:rPr>
        <w:t>TREND</w:t>
      </w:r>
      <w:proofErr w:type="gramEnd"/>
      <w:r>
        <w:rPr>
          <w:b/>
          <w:bCs/>
          <w:color w:val="C00000"/>
          <w:sz w:val="28"/>
          <w:szCs w:val="28"/>
        </w:rPr>
        <w:t xml:space="preserve"> PREZZI E LOCAZIONI IMMOBILI PER L’IMPRESA - TORINO CITTA’</w:t>
      </w:r>
    </w:p>
    <w:p w14:paraId="12C1AD57" w14:textId="77777777" w:rsidR="00CC0DFB" w:rsidRDefault="000B17A1" w:rsidP="000B17A1">
      <w:pPr>
        <w:spacing w:after="0" w:line="259" w:lineRule="auto"/>
        <w:jc w:val="center"/>
        <w:rPr>
          <w:b/>
          <w:bCs/>
          <w:color w:val="C00000"/>
          <w:sz w:val="28"/>
          <w:szCs w:val="28"/>
        </w:rPr>
      </w:pPr>
      <w:r>
        <w:rPr>
          <w:b/>
          <w:bCs/>
          <w:color w:val="C00000"/>
          <w:sz w:val="28"/>
          <w:szCs w:val="28"/>
        </w:rPr>
        <w:t xml:space="preserve">(variazioni percentuali I </w:t>
      </w:r>
      <w:proofErr w:type="spellStart"/>
      <w:r>
        <w:rPr>
          <w:b/>
          <w:bCs/>
          <w:color w:val="C00000"/>
          <w:sz w:val="28"/>
          <w:szCs w:val="28"/>
        </w:rPr>
        <w:t>sem</w:t>
      </w:r>
      <w:proofErr w:type="spellEnd"/>
      <w:r>
        <w:rPr>
          <w:b/>
          <w:bCs/>
          <w:color w:val="C00000"/>
          <w:sz w:val="28"/>
          <w:szCs w:val="28"/>
        </w:rPr>
        <w:t xml:space="preserve"> 24 rispetto al II </w:t>
      </w:r>
      <w:proofErr w:type="spellStart"/>
      <w:r>
        <w:rPr>
          <w:b/>
          <w:bCs/>
          <w:color w:val="C00000"/>
          <w:sz w:val="28"/>
          <w:szCs w:val="28"/>
        </w:rPr>
        <w:t>sem</w:t>
      </w:r>
      <w:proofErr w:type="spellEnd"/>
      <w:r>
        <w:rPr>
          <w:b/>
          <w:bCs/>
          <w:color w:val="C00000"/>
          <w:sz w:val="28"/>
          <w:szCs w:val="28"/>
        </w:rPr>
        <w:t xml:space="preserve"> 23)</w:t>
      </w:r>
    </w:p>
    <w:p w14:paraId="2B238EF7" w14:textId="77777777" w:rsidR="00CC0DFB" w:rsidRDefault="00CC0DFB" w:rsidP="000B17A1">
      <w:pPr>
        <w:spacing w:after="0" w:line="259" w:lineRule="auto"/>
        <w:rPr>
          <w:b/>
          <w:bCs/>
        </w:rPr>
      </w:pPr>
    </w:p>
    <w:p w14:paraId="0E306197" w14:textId="77777777" w:rsidR="00CC0DFB" w:rsidRDefault="000B17A1" w:rsidP="000B17A1">
      <w:pPr>
        <w:spacing w:after="0" w:line="259" w:lineRule="auto"/>
        <w:rPr>
          <w:b/>
          <w:bCs/>
          <w:color w:val="C00000"/>
        </w:rPr>
      </w:pPr>
      <w:r>
        <w:rPr>
          <w:b/>
          <w:bCs/>
          <w:color w:val="C00000"/>
        </w:rPr>
        <w:t>CAPANNONI</w:t>
      </w:r>
    </w:p>
    <w:tbl>
      <w:tblPr>
        <w:tblW w:w="9796" w:type="dxa"/>
        <w:tblInd w:w="55" w:type="dxa"/>
        <w:tblCellMar>
          <w:left w:w="10" w:type="dxa"/>
          <w:right w:w="10" w:type="dxa"/>
        </w:tblCellMar>
        <w:tblLook w:val="0000" w:firstRow="0" w:lastRow="0" w:firstColumn="0" w:lastColumn="0" w:noHBand="0" w:noVBand="0"/>
      </w:tblPr>
      <w:tblGrid>
        <w:gridCol w:w="1940"/>
        <w:gridCol w:w="2020"/>
        <w:gridCol w:w="2200"/>
        <w:gridCol w:w="1940"/>
        <w:gridCol w:w="1696"/>
      </w:tblGrid>
      <w:tr w:rsidR="00CC0DFB" w14:paraId="3C152A4D" w14:textId="77777777">
        <w:tblPrEx>
          <w:tblCellMar>
            <w:top w:w="0" w:type="dxa"/>
            <w:bottom w:w="0" w:type="dxa"/>
          </w:tblCellMar>
        </w:tblPrEx>
        <w:trPr>
          <w:trHeight w:val="300"/>
        </w:trPr>
        <w:tc>
          <w:tcPr>
            <w:tcW w:w="1940" w:type="dxa"/>
          </w:tcPr>
          <w:p w14:paraId="711C98BF" w14:textId="77777777" w:rsidR="00CC0DFB" w:rsidRDefault="00CC0DFB" w:rsidP="000B17A1">
            <w:pPr>
              <w:spacing w:after="0" w:line="259" w:lineRule="auto"/>
              <w:rPr>
                <w:rFonts w:eastAsia="Times New Roman" w:cs="Times New Roman"/>
                <w:b/>
                <w:bCs/>
                <w:lang w:eastAsia="it-IT"/>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345CDC" w14:textId="6286EE96"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 xml:space="preserve">Nuovo </w:t>
            </w:r>
            <w:r>
              <w:rPr>
                <w:rFonts w:eastAsia="Times New Roman" w:cs="Times New Roman"/>
                <w:b/>
                <w:bCs/>
                <w:lang w:eastAsia="it-IT"/>
              </w:rPr>
              <w:t xml:space="preserve">vicino </w:t>
            </w:r>
            <w:r>
              <w:rPr>
                <w:rFonts w:eastAsia="Times New Roman" w:cs="Times New Roman"/>
                <w:b/>
                <w:bCs/>
                <w:lang w:eastAsia="it-IT"/>
              </w:rPr>
              <w:t xml:space="preserve">alle arterie di </w:t>
            </w:r>
            <w:r>
              <w:rPr>
                <w:rFonts w:eastAsia="Times New Roman" w:cs="Times New Roman"/>
                <w:b/>
                <w:bCs/>
                <w:lang w:eastAsia="it-IT"/>
              </w:rPr>
              <w:t>comunicazione</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DB5E47"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Nuovo lontano dalle arterie di comunicazione</w:t>
            </w:r>
          </w:p>
        </w:tc>
        <w:tc>
          <w:tcPr>
            <w:tcW w:w="19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BCBB76"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 xml:space="preserve">Usato vicino alle arterie di comunicazione </w:t>
            </w:r>
          </w:p>
        </w:tc>
        <w:tc>
          <w:tcPr>
            <w:tcW w:w="16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706665" w14:textId="6D7BC981"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 xml:space="preserve">Usato lontano </w:t>
            </w:r>
            <w:r>
              <w:rPr>
                <w:rFonts w:eastAsia="Times New Roman" w:cs="Times New Roman"/>
                <w:b/>
                <w:bCs/>
                <w:lang w:eastAsia="it-IT"/>
              </w:rPr>
              <w:t>dalle arterie di comunicazione</w:t>
            </w:r>
          </w:p>
        </w:tc>
      </w:tr>
      <w:tr w:rsidR="00CC0DFB" w14:paraId="5578B0F6" w14:textId="77777777">
        <w:tblPrEx>
          <w:tblCellMar>
            <w:top w:w="0" w:type="dxa"/>
            <w:bottom w:w="0" w:type="dxa"/>
          </w:tblCellMar>
        </w:tblPrEx>
        <w:trPr>
          <w:trHeight w:val="300"/>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049E3F" w14:textId="77777777" w:rsidR="00CC0DFB" w:rsidRDefault="000B17A1" w:rsidP="000B17A1">
            <w:pPr>
              <w:spacing w:after="0" w:line="259" w:lineRule="auto"/>
            </w:pPr>
            <w:r>
              <w:rPr>
                <w:rFonts w:eastAsia="Times New Roman" w:cs="Times New Roman"/>
                <w:b/>
                <w:bCs/>
                <w:lang w:eastAsia="it-IT"/>
              </w:rPr>
              <w:t xml:space="preserve">Prezzi </w:t>
            </w:r>
          </w:p>
        </w:tc>
        <w:tc>
          <w:tcPr>
            <w:tcW w:w="2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379B4C"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+14,3%</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4D863A"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+11,1%</w:t>
            </w:r>
          </w:p>
        </w:tc>
        <w:tc>
          <w:tcPr>
            <w:tcW w:w="19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23542E"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-0,1%</w:t>
            </w:r>
          </w:p>
        </w:tc>
        <w:tc>
          <w:tcPr>
            <w:tcW w:w="16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616552"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-1,0%</w:t>
            </w:r>
          </w:p>
        </w:tc>
      </w:tr>
      <w:tr w:rsidR="00CC0DFB" w14:paraId="1A725273" w14:textId="77777777">
        <w:tblPrEx>
          <w:tblCellMar>
            <w:top w:w="0" w:type="dxa"/>
            <w:bottom w:w="0" w:type="dxa"/>
          </w:tblCellMar>
        </w:tblPrEx>
        <w:trPr>
          <w:trHeight w:val="300"/>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29B3B9"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Canoni di locazione</w:t>
            </w:r>
          </w:p>
        </w:tc>
        <w:tc>
          <w:tcPr>
            <w:tcW w:w="2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E07854"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750A3B"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w:t>
            </w:r>
          </w:p>
        </w:tc>
        <w:tc>
          <w:tcPr>
            <w:tcW w:w="19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163980"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w:t>
            </w:r>
          </w:p>
        </w:tc>
        <w:tc>
          <w:tcPr>
            <w:tcW w:w="16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A8A298"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+1,4%</w:t>
            </w:r>
          </w:p>
        </w:tc>
      </w:tr>
    </w:tbl>
    <w:p w14:paraId="2ED1C638" w14:textId="77777777" w:rsidR="00CC0DFB" w:rsidRDefault="00CC0DFB" w:rsidP="000B17A1">
      <w:pPr>
        <w:spacing w:after="0" w:line="259" w:lineRule="auto"/>
        <w:jc w:val="both"/>
      </w:pPr>
    </w:p>
    <w:p w14:paraId="40AE24EA" w14:textId="77777777" w:rsidR="00CC0DFB" w:rsidRDefault="000B17A1" w:rsidP="000B17A1">
      <w:pPr>
        <w:spacing w:after="0" w:line="259" w:lineRule="auto"/>
        <w:rPr>
          <w:b/>
          <w:bCs/>
          <w:color w:val="C00000"/>
        </w:rPr>
      </w:pPr>
      <w:r>
        <w:rPr>
          <w:b/>
          <w:bCs/>
          <w:color w:val="C00000"/>
        </w:rPr>
        <w:t xml:space="preserve">LABORATORI </w:t>
      </w:r>
    </w:p>
    <w:tbl>
      <w:tblPr>
        <w:tblW w:w="3686" w:type="dxa"/>
        <w:tblInd w:w="-72" w:type="dxa"/>
        <w:tblCellMar>
          <w:left w:w="10" w:type="dxa"/>
          <w:right w:w="10" w:type="dxa"/>
        </w:tblCellMar>
        <w:tblLook w:val="0000" w:firstRow="0" w:lastRow="0" w:firstColumn="0" w:lastColumn="0" w:noHBand="0" w:noVBand="0"/>
      </w:tblPr>
      <w:tblGrid>
        <w:gridCol w:w="2067"/>
        <w:gridCol w:w="1619"/>
      </w:tblGrid>
      <w:tr w:rsidR="00CC0DFB" w14:paraId="0AEB6CDA" w14:textId="77777777">
        <w:tblPrEx>
          <w:tblCellMar>
            <w:top w:w="0" w:type="dxa"/>
            <w:bottom w:w="0" w:type="dxa"/>
          </w:tblCellMar>
        </w:tblPrEx>
        <w:trPr>
          <w:trHeight w:val="315"/>
        </w:trPr>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CB054A"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Prezzi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96D162"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-0,1%</w:t>
            </w:r>
          </w:p>
        </w:tc>
      </w:tr>
      <w:tr w:rsidR="00CC0DFB" w14:paraId="4649B9DA" w14:textId="77777777">
        <w:tblPrEx>
          <w:tblCellMar>
            <w:top w:w="0" w:type="dxa"/>
            <w:bottom w:w="0" w:type="dxa"/>
          </w:tblCellMar>
        </w:tblPrEx>
        <w:trPr>
          <w:trHeight w:val="315"/>
        </w:trPr>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BBAF48"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Canoni di locazione</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400698"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+0,2%</w:t>
            </w:r>
          </w:p>
        </w:tc>
      </w:tr>
    </w:tbl>
    <w:p w14:paraId="156BC8B9" w14:textId="77777777" w:rsidR="00CC0DFB" w:rsidRDefault="00CC0DFB" w:rsidP="000B17A1">
      <w:pPr>
        <w:spacing w:after="0" w:line="259" w:lineRule="auto"/>
        <w:jc w:val="both"/>
        <w:rPr>
          <w:b/>
          <w:bCs/>
        </w:rPr>
      </w:pPr>
    </w:p>
    <w:p w14:paraId="63002397" w14:textId="77777777" w:rsidR="00CC0DFB" w:rsidRDefault="000B17A1" w:rsidP="000B17A1">
      <w:pPr>
        <w:spacing w:after="0" w:line="259" w:lineRule="auto"/>
        <w:jc w:val="both"/>
        <w:rPr>
          <w:b/>
          <w:bCs/>
          <w:color w:val="C00000"/>
        </w:rPr>
      </w:pPr>
      <w:r>
        <w:rPr>
          <w:b/>
          <w:bCs/>
          <w:color w:val="C00000"/>
        </w:rPr>
        <w:t xml:space="preserve">NEGOZI </w:t>
      </w:r>
    </w:p>
    <w:tbl>
      <w:tblPr>
        <w:tblW w:w="6160" w:type="dxa"/>
        <w:tblInd w:w="55" w:type="dxa"/>
        <w:tblCellMar>
          <w:left w:w="10" w:type="dxa"/>
          <w:right w:w="10" w:type="dxa"/>
        </w:tblCellMar>
        <w:tblLook w:val="0000" w:firstRow="0" w:lastRow="0" w:firstColumn="0" w:lastColumn="0" w:noHBand="0" w:noVBand="0"/>
      </w:tblPr>
      <w:tblGrid>
        <w:gridCol w:w="1940"/>
        <w:gridCol w:w="2020"/>
        <w:gridCol w:w="2200"/>
      </w:tblGrid>
      <w:tr w:rsidR="00CC0DFB" w14:paraId="781F04FF" w14:textId="77777777">
        <w:tblPrEx>
          <w:tblCellMar>
            <w:top w:w="0" w:type="dxa"/>
            <w:bottom w:w="0" w:type="dxa"/>
          </w:tblCellMar>
        </w:tblPrEx>
        <w:trPr>
          <w:trHeight w:val="315"/>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625583" w14:textId="77777777" w:rsidR="00CC0DFB" w:rsidRDefault="00CC0DFB" w:rsidP="000B17A1">
            <w:pPr>
              <w:spacing w:after="0" w:line="259" w:lineRule="auto"/>
              <w:jc w:val="both"/>
              <w:rPr>
                <w:rFonts w:eastAsia="Times New Roman" w:cs="Times New Roman"/>
                <w:b/>
                <w:bCs/>
                <w:lang w:eastAsia="it-IT"/>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774D85" w14:textId="77777777" w:rsidR="00CC0DFB" w:rsidRDefault="000B17A1" w:rsidP="000B17A1">
            <w:pPr>
              <w:spacing w:after="0" w:line="259" w:lineRule="auto"/>
              <w:jc w:val="both"/>
              <w:rPr>
                <w:rFonts w:eastAsia="Times New Roman" w:cs="Times New Roman"/>
                <w:b/>
                <w:bCs/>
                <w:lang w:eastAsia="it-IT"/>
              </w:rPr>
            </w:pPr>
            <w:r>
              <w:rPr>
                <w:rFonts w:eastAsia="Times New Roman" w:cs="Times New Roman"/>
                <w:b/>
                <w:bCs/>
                <w:lang w:eastAsia="it-IT"/>
              </w:rPr>
              <w:t>Vie di passaggio</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E5B35F" w14:textId="77777777" w:rsidR="00CC0DFB" w:rsidRDefault="000B17A1" w:rsidP="000B17A1">
            <w:pPr>
              <w:spacing w:after="0" w:line="259" w:lineRule="auto"/>
              <w:jc w:val="both"/>
              <w:rPr>
                <w:rFonts w:eastAsia="Times New Roman" w:cs="Times New Roman"/>
                <w:b/>
                <w:bCs/>
                <w:lang w:eastAsia="it-IT"/>
              </w:rPr>
            </w:pPr>
            <w:r>
              <w:rPr>
                <w:rFonts w:eastAsia="Times New Roman" w:cs="Times New Roman"/>
                <w:b/>
                <w:bCs/>
                <w:lang w:eastAsia="it-IT"/>
              </w:rPr>
              <w:t>Vie non di passaggio</w:t>
            </w:r>
          </w:p>
        </w:tc>
      </w:tr>
      <w:tr w:rsidR="00CC0DFB" w14:paraId="02DF7A25" w14:textId="77777777">
        <w:tblPrEx>
          <w:tblCellMar>
            <w:top w:w="0" w:type="dxa"/>
            <w:bottom w:w="0" w:type="dxa"/>
          </w:tblCellMar>
        </w:tblPrEx>
        <w:trPr>
          <w:trHeight w:val="315"/>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0FA166"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Prezzi</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AF9C26"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062C55"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-1,5%</w:t>
            </w:r>
          </w:p>
        </w:tc>
      </w:tr>
      <w:tr w:rsidR="00CC0DFB" w14:paraId="6541A642" w14:textId="77777777">
        <w:tblPrEx>
          <w:tblCellMar>
            <w:top w:w="0" w:type="dxa"/>
            <w:bottom w:w="0" w:type="dxa"/>
          </w:tblCellMar>
        </w:tblPrEx>
        <w:trPr>
          <w:trHeight w:val="315"/>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5D98EF"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Canoni di locazione</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C0EB34"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-1,0%</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0C2DB0"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-1,4%</w:t>
            </w:r>
          </w:p>
        </w:tc>
      </w:tr>
    </w:tbl>
    <w:p w14:paraId="22940C58" w14:textId="77777777" w:rsidR="00CC0DFB" w:rsidRDefault="00CC0DFB" w:rsidP="000B17A1">
      <w:pPr>
        <w:pStyle w:val="Standard"/>
        <w:spacing w:after="0" w:line="259" w:lineRule="auto"/>
        <w:jc w:val="both"/>
      </w:pPr>
    </w:p>
    <w:p w14:paraId="24AA41B2" w14:textId="77777777" w:rsidR="00CC0DFB" w:rsidRDefault="00CC0DFB" w:rsidP="000B17A1">
      <w:pPr>
        <w:spacing w:after="0" w:line="259" w:lineRule="auto"/>
        <w:rPr>
          <w:b/>
          <w:bCs/>
        </w:rPr>
      </w:pPr>
    </w:p>
    <w:p w14:paraId="32A70635" w14:textId="77777777" w:rsidR="00CC0DFB" w:rsidRDefault="00CC0DFB" w:rsidP="000B17A1">
      <w:pPr>
        <w:spacing w:after="0" w:line="259" w:lineRule="auto"/>
        <w:rPr>
          <w:b/>
          <w:bCs/>
        </w:rPr>
      </w:pPr>
    </w:p>
    <w:p w14:paraId="4CA5F01A" w14:textId="77777777" w:rsidR="00CC0DFB" w:rsidRDefault="000B17A1" w:rsidP="000B17A1">
      <w:pPr>
        <w:spacing w:after="0" w:line="259" w:lineRule="auto"/>
      </w:pPr>
      <w:r>
        <w:rPr>
          <w:b/>
          <w:bCs/>
          <w:color w:val="C00000"/>
        </w:rPr>
        <w:t>UFFICI</w:t>
      </w:r>
    </w:p>
    <w:tbl>
      <w:tblPr>
        <w:tblW w:w="9654" w:type="dxa"/>
        <w:tblInd w:w="55" w:type="dxa"/>
        <w:tblCellMar>
          <w:left w:w="10" w:type="dxa"/>
          <w:right w:w="10" w:type="dxa"/>
        </w:tblCellMar>
        <w:tblLook w:val="0000" w:firstRow="0" w:lastRow="0" w:firstColumn="0" w:lastColumn="0" w:noHBand="0" w:noVBand="0"/>
      </w:tblPr>
      <w:tblGrid>
        <w:gridCol w:w="1940"/>
        <w:gridCol w:w="1903"/>
        <w:gridCol w:w="2126"/>
        <w:gridCol w:w="1843"/>
        <w:gridCol w:w="1842"/>
      </w:tblGrid>
      <w:tr w:rsidR="00CC0DFB" w14:paraId="5A29C90E" w14:textId="77777777">
        <w:tblPrEx>
          <w:tblCellMar>
            <w:top w:w="0" w:type="dxa"/>
            <w:bottom w:w="0" w:type="dxa"/>
          </w:tblCellMar>
        </w:tblPrEx>
        <w:trPr>
          <w:trHeight w:val="315"/>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F8EEEA"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Uffici </w:t>
            </w:r>
          </w:p>
        </w:tc>
        <w:tc>
          <w:tcPr>
            <w:tcW w:w="190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F235D7"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Nuovo in centri direzionali</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0840BC"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Nuovo in palazzine residenziali</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A85F03"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Usato in centri </w:t>
            </w:r>
            <w:r>
              <w:rPr>
                <w:rFonts w:eastAsia="Times New Roman" w:cs="Times New Roman"/>
                <w:b/>
                <w:lang w:eastAsia="it-IT"/>
              </w:rPr>
              <w:t>direzionali</w:t>
            </w:r>
          </w:p>
        </w:tc>
        <w:tc>
          <w:tcPr>
            <w:tcW w:w="18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51D374"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Usato in palazzine residenziali</w:t>
            </w:r>
          </w:p>
        </w:tc>
      </w:tr>
      <w:tr w:rsidR="00CC0DFB" w14:paraId="18B16D51" w14:textId="77777777">
        <w:tblPrEx>
          <w:tblCellMar>
            <w:top w:w="0" w:type="dxa"/>
            <w:bottom w:w="0" w:type="dxa"/>
          </w:tblCellMar>
        </w:tblPrEx>
        <w:trPr>
          <w:trHeight w:val="315"/>
        </w:trPr>
        <w:tc>
          <w:tcPr>
            <w:tcW w:w="19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12F59B"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Prezzi </w:t>
            </w:r>
          </w:p>
        </w:tc>
        <w:tc>
          <w:tcPr>
            <w:tcW w:w="19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64F4C7"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-4,4%</w:t>
            </w:r>
          </w:p>
        </w:tc>
        <w:tc>
          <w:tcPr>
            <w:tcW w:w="21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0F5C59"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5684F2"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-4,3%</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6FDBF"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-2,4%</w:t>
            </w:r>
          </w:p>
        </w:tc>
      </w:tr>
      <w:tr w:rsidR="00CC0DFB" w14:paraId="1D18B6A4" w14:textId="77777777">
        <w:tblPrEx>
          <w:tblCellMar>
            <w:top w:w="0" w:type="dxa"/>
            <w:bottom w:w="0" w:type="dxa"/>
          </w:tblCellMar>
        </w:tblPrEx>
        <w:trPr>
          <w:trHeight w:val="315"/>
        </w:trPr>
        <w:tc>
          <w:tcPr>
            <w:tcW w:w="19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BB899A"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Canoni di locazione</w:t>
            </w:r>
          </w:p>
        </w:tc>
        <w:tc>
          <w:tcPr>
            <w:tcW w:w="19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B63B"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w:t>
            </w:r>
          </w:p>
        </w:tc>
        <w:tc>
          <w:tcPr>
            <w:tcW w:w="21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4DD4BD"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E758A9"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-1,1%</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412AED"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-1,9%</w:t>
            </w:r>
          </w:p>
        </w:tc>
      </w:tr>
    </w:tbl>
    <w:p w14:paraId="582384AC" w14:textId="77777777" w:rsidR="00CC0DFB" w:rsidRDefault="00CC0DFB" w:rsidP="000B17A1">
      <w:pPr>
        <w:pStyle w:val="Standard"/>
        <w:spacing w:after="0" w:line="259" w:lineRule="auto"/>
        <w:jc w:val="both"/>
      </w:pPr>
    </w:p>
    <w:p w14:paraId="11CB9DE5" w14:textId="77777777" w:rsidR="000B17A1" w:rsidRDefault="000B17A1" w:rsidP="000B17A1">
      <w:pPr>
        <w:pStyle w:val="Standard"/>
        <w:spacing w:after="0" w:line="259" w:lineRule="auto"/>
        <w:jc w:val="both"/>
      </w:pPr>
    </w:p>
    <w:p w14:paraId="6349D9EC" w14:textId="77777777" w:rsidR="000B17A1" w:rsidRDefault="000B17A1" w:rsidP="000B17A1">
      <w:pPr>
        <w:pStyle w:val="Standard"/>
        <w:spacing w:after="0" w:line="259" w:lineRule="auto"/>
        <w:jc w:val="both"/>
      </w:pPr>
    </w:p>
    <w:p w14:paraId="08347038" w14:textId="77777777" w:rsidR="000B17A1" w:rsidRDefault="000B17A1" w:rsidP="000B17A1">
      <w:pPr>
        <w:pStyle w:val="Standard"/>
        <w:spacing w:after="0" w:line="259" w:lineRule="auto"/>
        <w:jc w:val="both"/>
      </w:pPr>
    </w:p>
    <w:p w14:paraId="4D409C42" w14:textId="77777777" w:rsidR="000B17A1" w:rsidRDefault="000B17A1" w:rsidP="000B17A1">
      <w:pPr>
        <w:pStyle w:val="Standard"/>
        <w:spacing w:after="0" w:line="259" w:lineRule="auto"/>
        <w:jc w:val="both"/>
      </w:pPr>
    </w:p>
    <w:p w14:paraId="1418096F" w14:textId="77777777" w:rsidR="000B17A1" w:rsidRDefault="000B17A1" w:rsidP="000B17A1">
      <w:pPr>
        <w:pStyle w:val="Standard"/>
        <w:spacing w:after="0" w:line="259" w:lineRule="auto"/>
        <w:jc w:val="both"/>
      </w:pPr>
    </w:p>
    <w:p w14:paraId="0C88158D" w14:textId="77777777" w:rsidR="000B17A1" w:rsidRDefault="000B17A1" w:rsidP="000B17A1">
      <w:pPr>
        <w:pStyle w:val="Standard"/>
        <w:spacing w:after="0" w:line="259" w:lineRule="auto"/>
        <w:jc w:val="both"/>
      </w:pPr>
    </w:p>
    <w:p w14:paraId="783443D0" w14:textId="77777777" w:rsidR="000B17A1" w:rsidRDefault="000B17A1" w:rsidP="000B17A1">
      <w:pPr>
        <w:pStyle w:val="Standard"/>
        <w:spacing w:after="0" w:line="259" w:lineRule="auto"/>
        <w:jc w:val="both"/>
      </w:pPr>
    </w:p>
    <w:p w14:paraId="7B31754B" w14:textId="77777777" w:rsidR="000B17A1" w:rsidRDefault="000B17A1" w:rsidP="000B17A1">
      <w:pPr>
        <w:pStyle w:val="Standard"/>
        <w:spacing w:after="0" w:line="259" w:lineRule="auto"/>
        <w:jc w:val="both"/>
      </w:pPr>
    </w:p>
    <w:p w14:paraId="65A5A52E" w14:textId="77777777" w:rsidR="00CC0DFB" w:rsidRDefault="000B17A1" w:rsidP="000B17A1">
      <w:pPr>
        <w:spacing w:after="0" w:line="259" w:lineRule="auto"/>
        <w:jc w:val="center"/>
        <w:rPr>
          <w:b/>
          <w:bCs/>
          <w:color w:val="C00000"/>
          <w:sz w:val="28"/>
          <w:szCs w:val="28"/>
        </w:rPr>
      </w:pPr>
      <w:proofErr w:type="gramStart"/>
      <w:r>
        <w:rPr>
          <w:b/>
          <w:bCs/>
          <w:color w:val="C00000"/>
          <w:sz w:val="28"/>
          <w:szCs w:val="28"/>
        </w:rPr>
        <w:lastRenderedPageBreak/>
        <w:t>TREND</w:t>
      </w:r>
      <w:proofErr w:type="gramEnd"/>
      <w:r>
        <w:rPr>
          <w:b/>
          <w:bCs/>
          <w:color w:val="C00000"/>
          <w:sz w:val="28"/>
          <w:szCs w:val="28"/>
        </w:rPr>
        <w:t xml:space="preserve"> PREZZI E LOCAZIONI IMMOBILI PER L’IMPRESA - TORINO PROVINCIA</w:t>
      </w:r>
    </w:p>
    <w:p w14:paraId="1EBEC8BA" w14:textId="77777777" w:rsidR="00CC0DFB" w:rsidRDefault="000B17A1" w:rsidP="000B17A1">
      <w:pPr>
        <w:spacing w:after="0" w:line="259" w:lineRule="auto"/>
        <w:jc w:val="center"/>
        <w:rPr>
          <w:b/>
          <w:bCs/>
          <w:color w:val="C00000"/>
          <w:sz w:val="28"/>
          <w:szCs w:val="28"/>
        </w:rPr>
      </w:pPr>
      <w:r>
        <w:rPr>
          <w:b/>
          <w:bCs/>
          <w:color w:val="C00000"/>
          <w:sz w:val="28"/>
          <w:szCs w:val="28"/>
        </w:rPr>
        <w:t xml:space="preserve">(variazioni percentuali I </w:t>
      </w:r>
      <w:proofErr w:type="spellStart"/>
      <w:r>
        <w:rPr>
          <w:b/>
          <w:bCs/>
          <w:color w:val="C00000"/>
          <w:sz w:val="28"/>
          <w:szCs w:val="28"/>
        </w:rPr>
        <w:t>sem</w:t>
      </w:r>
      <w:proofErr w:type="spellEnd"/>
      <w:r>
        <w:rPr>
          <w:b/>
          <w:bCs/>
          <w:color w:val="C00000"/>
          <w:sz w:val="28"/>
          <w:szCs w:val="28"/>
        </w:rPr>
        <w:t xml:space="preserve"> 24 rispetto al II </w:t>
      </w:r>
      <w:proofErr w:type="spellStart"/>
      <w:r>
        <w:rPr>
          <w:b/>
          <w:bCs/>
          <w:color w:val="C00000"/>
          <w:sz w:val="28"/>
          <w:szCs w:val="28"/>
        </w:rPr>
        <w:t>sem</w:t>
      </w:r>
      <w:proofErr w:type="spellEnd"/>
      <w:r>
        <w:rPr>
          <w:b/>
          <w:bCs/>
          <w:color w:val="C00000"/>
          <w:sz w:val="28"/>
          <w:szCs w:val="28"/>
        </w:rPr>
        <w:t xml:space="preserve"> 23)</w:t>
      </w:r>
    </w:p>
    <w:p w14:paraId="18275A72" w14:textId="77777777" w:rsidR="00CC0DFB" w:rsidRDefault="000B17A1" w:rsidP="000B17A1">
      <w:pPr>
        <w:spacing w:after="0" w:line="259" w:lineRule="auto"/>
        <w:rPr>
          <w:b/>
          <w:bCs/>
          <w:color w:val="C00000"/>
        </w:rPr>
      </w:pPr>
      <w:r>
        <w:rPr>
          <w:b/>
          <w:bCs/>
          <w:color w:val="C00000"/>
        </w:rPr>
        <w:t xml:space="preserve">CAPANNONI </w:t>
      </w:r>
    </w:p>
    <w:tbl>
      <w:tblPr>
        <w:tblW w:w="9796" w:type="dxa"/>
        <w:tblInd w:w="55" w:type="dxa"/>
        <w:tblCellMar>
          <w:left w:w="10" w:type="dxa"/>
          <w:right w:w="10" w:type="dxa"/>
        </w:tblCellMar>
        <w:tblLook w:val="0000" w:firstRow="0" w:lastRow="0" w:firstColumn="0" w:lastColumn="0" w:noHBand="0" w:noVBand="0"/>
      </w:tblPr>
      <w:tblGrid>
        <w:gridCol w:w="1940"/>
        <w:gridCol w:w="2020"/>
        <w:gridCol w:w="2200"/>
        <w:gridCol w:w="1940"/>
        <w:gridCol w:w="1696"/>
      </w:tblGrid>
      <w:tr w:rsidR="00CC0DFB" w14:paraId="3D08D72D" w14:textId="77777777">
        <w:tblPrEx>
          <w:tblCellMar>
            <w:top w:w="0" w:type="dxa"/>
            <w:bottom w:w="0" w:type="dxa"/>
          </w:tblCellMar>
        </w:tblPrEx>
        <w:trPr>
          <w:trHeight w:val="300"/>
        </w:trPr>
        <w:tc>
          <w:tcPr>
            <w:tcW w:w="1940" w:type="dxa"/>
          </w:tcPr>
          <w:p w14:paraId="38C576D8" w14:textId="77777777" w:rsidR="00CC0DFB" w:rsidRDefault="00CC0DFB" w:rsidP="000B17A1">
            <w:pPr>
              <w:spacing w:after="0" w:line="259" w:lineRule="auto"/>
              <w:rPr>
                <w:rFonts w:eastAsia="Times New Roman" w:cs="Times New Roman"/>
                <w:b/>
                <w:bCs/>
                <w:lang w:eastAsia="it-IT"/>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DE07CC" w14:textId="336DB562"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 xml:space="preserve">Nuovo vicino alle arterie di </w:t>
            </w:r>
            <w:r>
              <w:rPr>
                <w:rFonts w:eastAsia="Times New Roman" w:cs="Times New Roman"/>
                <w:b/>
                <w:bCs/>
                <w:lang w:eastAsia="it-IT"/>
              </w:rPr>
              <w:t>comunicazione</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DDD71C"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Nuovo lontano dalle arterie di comunicazione</w:t>
            </w:r>
          </w:p>
        </w:tc>
        <w:tc>
          <w:tcPr>
            <w:tcW w:w="19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91F0EA"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 xml:space="preserve">Usato vicino alle arterie di comunicazione </w:t>
            </w:r>
          </w:p>
        </w:tc>
        <w:tc>
          <w:tcPr>
            <w:tcW w:w="16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D40D24" w14:textId="12D44340"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 xml:space="preserve">Usato lontano </w:t>
            </w:r>
            <w:r>
              <w:rPr>
                <w:rFonts w:eastAsia="Times New Roman" w:cs="Times New Roman"/>
                <w:b/>
                <w:bCs/>
                <w:lang w:eastAsia="it-IT"/>
              </w:rPr>
              <w:t>dalle arterie di comunicazione</w:t>
            </w:r>
          </w:p>
        </w:tc>
      </w:tr>
      <w:tr w:rsidR="00CC0DFB" w14:paraId="61CD2AB2" w14:textId="77777777">
        <w:tblPrEx>
          <w:tblCellMar>
            <w:top w:w="0" w:type="dxa"/>
            <w:bottom w:w="0" w:type="dxa"/>
          </w:tblCellMar>
        </w:tblPrEx>
        <w:trPr>
          <w:trHeight w:val="300"/>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339C90" w14:textId="77777777" w:rsidR="00CC0DFB" w:rsidRDefault="000B17A1" w:rsidP="000B17A1">
            <w:pPr>
              <w:spacing w:after="0" w:line="259" w:lineRule="auto"/>
            </w:pPr>
            <w:r>
              <w:rPr>
                <w:rFonts w:eastAsia="Times New Roman" w:cs="Times New Roman"/>
                <w:b/>
                <w:bCs/>
                <w:lang w:eastAsia="it-IT"/>
              </w:rPr>
              <w:t xml:space="preserve">Prezzi </w:t>
            </w:r>
          </w:p>
        </w:tc>
        <w:tc>
          <w:tcPr>
            <w:tcW w:w="2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09F12B"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+0,7%</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75C295"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-1,0%</w:t>
            </w:r>
          </w:p>
        </w:tc>
        <w:tc>
          <w:tcPr>
            <w:tcW w:w="19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B69E4E"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+3,3%</w:t>
            </w:r>
          </w:p>
        </w:tc>
        <w:tc>
          <w:tcPr>
            <w:tcW w:w="16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E3D774"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+0,6%</w:t>
            </w:r>
          </w:p>
        </w:tc>
      </w:tr>
      <w:tr w:rsidR="00CC0DFB" w14:paraId="0D525C5F" w14:textId="77777777">
        <w:tblPrEx>
          <w:tblCellMar>
            <w:top w:w="0" w:type="dxa"/>
            <w:bottom w:w="0" w:type="dxa"/>
          </w:tblCellMar>
        </w:tblPrEx>
        <w:trPr>
          <w:trHeight w:val="300"/>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EBD94A"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Canoni di locazione</w:t>
            </w:r>
          </w:p>
        </w:tc>
        <w:tc>
          <w:tcPr>
            <w:tcW w:w="2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BB190"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-1,6%</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2D7DEAC"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+4,0%</w:t>
            </w:r>
          </w:p>
        </w:tc>
        <w:tc>
          <w:tcPr>
            <w:tcW w:w="19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861B9E"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+1,0%</w:t>
            </w:r>
          </w:p>
        </w:tc>
        <w:tc>
          <w:tcPr>
            <w:tcW w:w="16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9DE398A" w14:textId="77777777" w:rsidR="00CC0DFB" w:rsidRDefault="000B17A1" w:rsidP="000B17A1">
            <w:pPr>
              <w:spacing w:after="0" w:line="259" w:lineRule="auto"/>
              <w:jc w:val="center"/>
              <w:rPr>
                <w:rFonts w:eastAsia="Times New Roman" w:cs="Times New Roman"/>
                <w:bCs/>
                <w:lang w:eastAsia="it-IT"/>
              </w:rPr>
            </w:pPr>
            <w:r>
              <w:rPr>
                <w:rFonts w:eastAsia="Times New Roman" w:cs="Times New Roman"/>
                <w:bCs/>
                <w:lang w:eastAsia="it-IT"/>
              </w:rPr>
              <w:t>+0,6%</w:t>
            </w:r>
          </w:p>
        </w:tc>
      </w:tr>
    </w:tbl>
    <w:p w14:paraId="2BAE57F1" w14:textId="77777777" w:rsidR="00CC0DFB" w:rsidRDefault="00CC0DFB" w:rsidP="000B17A1">
      <w:pPr>
        <w:spacing w:after="0" w:line="259" w:lineRule="auto"/>
        <w:jc w:val="both"/>
        <w:rPr>
          <w:rFonts w:eastAsia="Calibri" w:cs="Times New Roman"/>
        </w:rPr>
      </w:pPr>
    </w:p>
    <w:p w14:paraId="5A709190" w14:textId="77777777" w:rsidR="00CC0DFB" w:rsidRDefault="000B17A1" w:rsidP="000B17A1">
      <w:pPr>
        <w:spacing w:after="0" w:line="259" w:lineRule="auto"/>
        <w:rPr>
          <w:b/>
          <w:bCs/>
          <w:color w:val="C00000"/>
        </w:rPr>
      </w:pPr>
      <w:r>
        <w:rPr>
          <w:b/>
          <w:bCs/>
          <w:color w:val="C00000"/>
        </w:rPr>
        <w:t xml:space="preserve">LABORATORI </w:t>
      </w:r>
    </w:p>
    <w:tbl>
      <w:tblPr>
        <w:tblW w:w="3686" w:type="dxa"/>
        <w:tblInd w:w="-72" w:type="dxa"/>
        <w:tblCellMar>
          <w:left w:w="10" w:type="dxa"/>
          <w:right w:w="10" w:type="dxa"/>
        </w:tblCellMar>
        <w:tblLook w:val="0000" w:firstRow="0" w:lastRow="0" w:firstColumn="0" w:lastColumn="0" w:noHBand="0" w:noVBand="0"/>
      </w:tblPr>
      <w:tblGrid>
        <w:gridCol w:w="2067"/>
        <w:gridCol w:w="1619"/>
      </w:tblGrid>
      <w:tr w:rsidR="00CC0DFB" w14:paraId="40E2C553" w14:textId="77777777">
        <w:tblPrEx>
          <w:tblCellMar>
            <w:top w:w="0" w:type="dxa"/>
            <w:bottom w:w="0" w:type="dxa"/>
          </w:tblCellMar>
        </w:tblPrEx>
        <w:trPr>
          <w:trHeight w:val="315"/>
        </w:trPr>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8D396D"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Prezzi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E0C497"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+2,2%</w:t>
            </w:r>
          </w:p>
        </w:tc>
      </w:tr>
      <w:tr w:rsidR="00CC0DFB" w14:paraId="6BD2524F" w14:textId="77777777">
        <w:tblPrEx>
          <w:tblCellMar>
            <w:top w:w="0" w:type="dxa"/>
            <w:bottom w:w="0" w:type="dxa"/>
          </w:tblCellMar>
        </w:tblPrEx>
        <w:trPr>
          <w:trHeight w:val="315"/>
        </w:trPr>
        <w:tc>
          <w:tcPr>
            <w:tcW w:w="20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B8CD47"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Canoni di locazione</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A80B9E"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+2,2%</w:t>
            </w:r>
          </w:p>
        </w:tc>
      </w:tr>
    </w:tbl>
    <w:p w14:paraId="7EAC9D74" w14:textId="77777777" w:rsidR="00CC0DFB" w:rsidRDefault="00CC0DFB" w:rsidP="000B17A1">
      <w:pPr>
        <w:pStyle w:val="Standard"/>
        <w:spacing w:after="0" w:line="259" w:lineRule="auto"/>
        <w:jc w:val="both"/>
      </w:pPr>
    </w:p>
    <w:p w14:paraId="3F21559D" w14:textId="77777777" w:rsidR="00CC0DFB" w:rsidRDefault="000B17A1" w:rsidP="000B17A1">
      <w:pPr>
        <w:spacing w:after="0" w:line="259" w:lineRule="auto"/>
      </w:pPr>
      <w:r>
        <w:rPr>
          <w:b/>
          <w:bCs/>
          <w:color w:val="C00000"/>
        </w:rPr>
        <w:t>NEGOZI</w:t>
      </w:r>
    </w:p>
    <w:tbl>
      <w:tblPr>
        <w:tblW w:w="6160" w:type="dxa"/>
        <w:tblInd w:w="55" w:type="dxa"/>
        <w:tblCellMar>
          <w:left w:w="10" w:type="dxa"/>
          <w:right w:w="10" w:type="dxa"/>
        </w:tblCellMar>
        <w:tblLook w:val="0000" w:firstRow="0" w:lastRow="0" w:firstColumn="0" w:lastColumn="0" w:noHBand="0" w:noVBand="0"/>
      </w:tblPr>
      <w:tblGrid>
        <w:gridCol w:w="1940"/>
        <w:gridCol w:w="2020"/>
        <w:gridCol w:w="2200"/>
      </w:tblGrid>
      <w:tr w:rsidR="00CC0DFB" w14:paraId="74E5B0CF" w14:textId="77777777">
        <w:tblPrEx>
          <w:tblCellMar>
            <w:top w:w="0" w:type="dxa"/>
            <w:bottom w:w="0" w:type="dxa"/>
          </w:tblCellMar>
        </w:tblPrEx>
        <w:trPr>
          <w:trHeight w:val="315"/>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DE4637" w14:textId="77777777" w:rsidR="00CC0DFB" w:rsidRDefault="00CC0DFB" w:rsidP="000B17A1">
            <w:pPr>
              <w:spacing w:after="0" w:line="259" w:lineRule="auto"/>
              <w:jc w:val="both"/>
              <w:rPr>
                <w:rFonts w:eastAsia="Times New Roman" w:cs="Times New Roman"/>
                <w:b/>
                <w:bCs/>
                <w:lang w:eastAsia="it-IT"/>
              </w:rPr>
            </w:pPr>
          </w:p>
        </w:tc>
        <w:tc>
          <w:tcPr>
            <w:tcW w:w="2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38B88B" w14:textId="77777777" w:rsidR="00CC0DFB" w:rsidRDefault="000B17A1" w:rsidP="000B17A1">
            <w:pPr>
              <w:spacing w:after="0" w:line="259" w:lineRule="auto"/>
              <w:jc w:val="both"/>
              <w:rPr>
                <w:rFonts w:eastAsia="Times New Roman" w:cs="Times New Roman"/>
                <w:b/>
                <w:bCs/>
                <w:lang w:eastAsia="it-IT"/>
              </w:rPr>
            </w:pPr>
            <w:r>
              <w:rPr>
                <w:rFonts w:eastAsia="Times New Roman" w:cs="Times New Roman"/>
                <w:b/>
                <w:bCs/>
                <w:lang w:eastAsia="it-IT"/>
              </w:rPr>
              <w:t>Vie di passaggio</w:t>
            </w:r>
          </w:p>
        </w:tc>
        <w:tc>
          <w:tcPr>
            <w:tcW w:w="2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0CA367" w14:textId="77777777" w:rsidR="00CC0DFB" w:rsidRDefault="000B17A1" w:rsidP="000B17A1">
            <w:pPr>
              <w:spacing w:after="0" w:line="259" w:lineRule="auto"/>
              <w:jc w:val="both"/>
              <w:rPr>
                <w:rFonts w:eastAsia="Times New Roman" w:cs="Times New Roman"/>
                <w:b/>
                <w:bCs/>
                <w:lang w:eastAsia="it-IT"/>
              </w:rPr>
            </w:pPr>
            <w:r>
              <w:rPr>
                <w:rFonts w:eastAsia="Times New Roman" w:cs="Times New Roman"/>
                <w:b/>
                <w:bCs/>
                <w:lang w:eastAsia="it-IT"/>
              </w:rPr>
              <w:t>Vie non di passaggio</w:t>
            </w:r>
          </w:p>
        </w:tc>
      </w:tr>
      <w:tr w:rsidR="00CC0DFB" w14:paraId="784073C8" w14:textId="77777777">
        <w:tblPrEx>
          <w:tblCellMar>
            <w:top w:w="0" w:type="dxa"/>
            <w:bottom w:w="0" w:type="dxa"/>
          </w:tblCellMar>
        </w:tblPrEx>
        <w:trPr>
          <w:trHeight w:val="315"/>
        </w:trPr>
        <w:tc>
          <w:tcPr>
            <w:tcW w:w="19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BCE1EC"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Prezzi</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33E3CB"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-1,8%</w:t>
            </w:r>
          </w:p>
        </w:tc>
        <w:tc>
          <w:tcPr>
            <w:tcW w:w="2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B69A0C"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-2,1%</w:t>
            </w:r>
          </w:p>
        </w:tc>
      </w:tr>
      <w:tr w:rsidR="00CC0DFB" w14:paraId="732FEB29" w14:textId="77777777">
        <w:tblPrEx>
          <w:tblCellMar>
            <w:top w:w="0" w:type="dxa"/>
            <w:bottom w:w="0" w:type="dxa"/>
          </w:tblCellMar>
        </w:tblPrEx>
        <w:trPr>
          <w:trHeight w:val="168"/>
        </w:trPr>
        <w:tc>
          <w:tcPr>
            <w:tcW w:w="19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A6AD0D" w14:textId="77777777" w:rsidR="00CC0DFB" w:rsidRDefault="000B17A1" w:rsidP="000B17A1">
            <w:pPr>
              <w:spacing w:after="0" w:line="259" w:lineRule="auto"/>
              <w:rPr>
                <w:rFonts w:eastAsia="Times New Roman" w:cs="Times New Roman"/>
                <w:b/>
                <w:bCs/>
                <w:lang w:eastAsia="it-IT"/>
              </w:rPr>
            </w:pPr>
            <w:r>
              <w:rPr>
                <w:rFonts w:eastAsia="Times New Roman" w:cs="Times New Roman"/>
                <w:b/>
                <w:bCs/>
                <w:lang w:eastAsia="it-IT"/>
              </w:rPr>
              <w:t>Canoni di locazione</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49B898"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-2,6%</w:t>
            </w:r>
          </w:p>
        </w:tc>
        <w:tc>
          <w:tcPr>
            <w:tcW w:w="2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B7623"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-0,9%</w:t>
            </w:r>
          </w:p>
        </w:tc>
      </w:tr>
    </w:tbl>
    <w:p w14:paraId="105D8AEB" w14:textId="77777777" w:rsidR="00CC0DFB" w:rsidRDefault="00CC0DFB" w:rsidP="000B17A1">
      <w:pPr>
        <w:spacing w:after="0" w:line="259" w:lineRule="auto"/>
        <w:jc w:val="both"/>
      </w:pPr>
    </w:p>
    <w:p w14:paraId="6FA71922" w14:textId="77777777" w:rsidR="00CC0DFB" w:rsidRDefault="000B17A1" w:rsidP="000B17A1">
      <w:pPr>
        <w:spacing w:after="0" w:line="259" w:lineRule="auto"/>
        <w:jc w:val="both"/>
      </w:pPr>
      <w:r>
        <w:rPr>
          <w:b/>
          <w:bCs/>
          <w:color w:val="C00000"/>
        </w:rPr>
        <w:t xml:space="preserve">UFFICI </w:t>
      </w:r>
    </w:p>
    <w:tbl>
      <w:tblPr>
        <w:tblW w:w="9654" w:type="dxa"/>
        <w:tblInd w:w="55" w:type="dxa"/>
        <w:tblCellMar>
          <w:left w:w="10" w:type="dxa"/>
          <w:right w:w="10" w:type="dxa"/>
        </w:tblCellMar>
        <w:tblLook w:val="0000" w:firstRow="0" w:lastRow="0" w:firstColumn="0" w:lastColumn="0" w:noHBand="0" w:noVBand="0"/>
      </w:tblPr>
      <w:tblGrid>
        <w:gridCol w:w="1940"/>
        <w:gridCol w:w="1903"/>
        <w:gridCol w:w="2126"/>
        <w:gridCol w:w="1843"/>
        <w:gridCol w:w="1842"/>
      </w:tblGrid>
      <w:tr w:rsidR="00CC0DFB" w14:paraId="5029B1C8" w14:textId="77777777">
        <w:tblPrEx>
          <w:tblCellMar>
            <w:top w:w="0" w:type="dxa"/>
            <w:bottom w:w="0" w:type="dxa"/>
          </w:tblCellMar>
        </w:tblPrEx>
        <w:trPr>
          <w:trHeight w:val="315"/>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7C1D4B" w14:textId="77777777" w:rsidR="00CC0DFB" w:rsidRDefault="00CC0DFB" w:rsidP="000B17A1">
            <w:pPr>
              <w:spacing w:after="0" w:line="259" w:lineRule="auto"/>
              <w:rPr>
                <w:rFonts w:eastAsia="Times New Roman" w:cs="Times New Roman"/>
                <w:b/>
                <w:lang w:eastAsia="it-IT"/>
              </w:rPr>
            </w:pPr>
          </w:p>
        </w:tc>
        <w:tc>
          <w:tcPr>
            <w:tcW w:w="190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7CAE79"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Nuovo in centri direzionali</w:t>
            </w:r>
          </w:p>
        </w:tc>
        <w:tc>
          <w:tcPr>
            <w:tcW w:w="21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3E24E8"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Nuovo in palazzine residenziali</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1AC706"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Usato in centri </w:t>
            </w:r>
            <w:r>
              <w:rPr>
                <w:rFonts w:eastAsia="Times New Roman" w:cs="Times New Roman"/>
                <w:b/>
                <w:lang w:eastAsia="it-IT"/>
              </w:rPr>
              <w:t>direzionali</w:t>
            </w:r>
          </w:p>
        </w:tc>
        <w:tc>
          <w:tcPr>
            <w:tcW w:w="18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521CDB"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Usato in palazzine residenziali</w:t>
            </w:r>
          </w:p>
        </w:tc>
      </w:tr>
      <w:tr w:rsidR="00CC0DFB" w14:paraId="543C038A" w14:textId="77777777">
        <w:tblPrEx>
          <w:tblCellMar>
            <w:top w:w="0" w:type="dxa"/>
            <w:bottom w:w="0" w:type="dxa"/>
          </w:tblCellMar>
        </w:tblPrEx>
        <w:trPr>
          <w:trHeight w:val="315"/>
        </w:trPr>
        <w:tc>
          <w:tcPr>
            <w:tcW w:w="19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9636A5"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 xml:space="preserve">Prezzi </w:t>
            </w:r>
          </w:p>
        </w:tc>
        <w:tc>
          <w:tcPr>
            <w:tcW w:w="1903" w:type="dxa"/>
            <w:tcBorders>
              <w:bottom w:val="single" w:sz="4" w:space="0" w:color="000000"/>
              <w:right w:val="single" w:sz="4" w:space="0" w:color="000000"/>
            </w:tcBorders>
            <w:shd w:val="clear" w:color="auto" w:fill="auto"/>
            <w:noWrap/>
            <w:tcMar>
              <w:top w:w="0" w:type="dxa"/>
              <w:left w:w="70" w:type="dxa"/>
              <w:bottom w:w="0" w:type="dxa"/>
              <w:right w:w="70" w:type="dxa"/>
            </w:tcMar>
          </w:tcPr>
          <w:p w14:paraId="1FBB54D9"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+4,6%</w:t>
            </w:r>
          </w:p>
        </w:tc>
        <w:tc>
          <w:tcPr>
            <w:tcW w:w="2126" w:type="dxa"/>
            <w:tcBorders>
              <w:bottom w:val="single" w:sz="4" w:space="0" w:color="000000"/>
              <w:right w:val="single" w:sz="4" w:space="0" w:color="000000"/>
            </w:tcBorders>
            <w:shd w:val="clear" w:color="auto" w:fill="auto"/>
            <w:noWrap/>
            <w:tcMar>
              <w:top w:w="0" w:type="dxa"/>
              <w:left w:w="70" w:type="dxa"/>
              <w:bottom w:w="0" w:type="dxa"/>
              <w:right w:w="70" w:type="dxa"/>
            </w:tcMar>
          </w:tcPr>
          <w:p w14:paraId="70B2DACD"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+,8%</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tcPr>
          <w:p w14:paraId="1880DFBD"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-4,5%</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tcPr>
          <w:p w14:paraId="2314137A"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-1,3%</w:t>
            </w:r>
          </w:p>
        </w:tc>
      </w:tr>
      <w:tr w:rsidR="00CC0DFB" w14:paraId="0C59F1AB" w14:textId="77777777">
        <w:tblPrEx>
          <w:tblCellMar>
            <w:top w:w="0" w:type="dxa"/>
            <w:bottom w:w="0" w:type="dxa"/>
          </w:tblCellMar>
        </w:tblPrEx>
        <w:trPr>
          <w:trHeight w:val="315"/>
        </w:trPr>
        <w:tc>
          <w:tcPr>
            <w:tcW w:w="19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60A545" w14:textId="77777777" w:rsidR="00CC0DFB" w:rsidRDefault="000B17A1" w:rsidP="000B17A1">
            <w:pPr>
              <w:spacing w:after="0" w:line="259" w:lineRule="auto"/>
              <w:rPr>
                <w:rFonts w:eastAsia="Times New Roman" w:cs="Times New Roman"/>
                <w:b/>
                <w:lang w:eastAsia="it-IT"/>
              </w:rPr>
            </w:pPr>
            <w:r>
              <w:rPr>
                <w:rFonts w:eastAsia="Times New Roman" w:cs="Times New Roman"/>
                <w:b/>
                <w:lang w:eastAsia="it-IT"/>
              </w:rPr>
              <w:t>Canoni di locazione</w:t>
            </w:r>
          </w:p>
        </w:tc>
        <w:tc>
          <w:tcPr>
            <w:tcW w:w="1903" w:type="dxa"/>
            <w:tcBorders>
              <w:bottom w:val="single" w:sz="4" w:space="0" w:color="000000"/>
              <w:right w:val="single" w:sz="4" w:space="0" w:color="000000"/>
            </w:tcBorders>
            <w:shd w:val="clear" w:color="auto" w:fill="auto"/>
            <w:noWrap/>
            <w:tcMar>
              <w:top w:w="0" w:type="dxa"/>
              <w:left w:w="70" w:type="dxa"/>
              <w:bottom w:w="0" w:type="dxa"/>
              <w:right w:w="70" w:type="dxa"/>
            </w:tcMar>
          </w:tcPr>
          <w:p w14:paraId="1FB0FD45"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-3,3%</w:t>
            </w:r>
          </w:p>
        </w:tc>
        <w:tc>
          <w:tcPr>
            <w:tcW w:w="2126" w:type="dxa"/>
            <w:tcBorders>
              <w:bottom w:val="single" w:sz="4" w:space="0" w:color="000000"/>
              <w:right w:val="single" w:sz="4" w:space="0" w:color="000000"/>
            </w:tcBorders>
            <w:shd w:val="clear" w:color="auto" w:fill="auto"/>
            <w:noWrap/>
            <w:tcMar>
              <w:top w:w="0" w:type="dxa"/>
              <w:left w:w="70" w:type="dxa"/>
              <w:bottom w:w="0" w:type="dxa"/>
              <w:right w:w="70" w:type="dxa"/>
            </w:tcMar>
          </w:tcPr>
          <w:p w14:paraId="63F0F231"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+1,0%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tcPr>
          <w:p w14:paraId="2D882F7F"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-0,1%</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tcPr>
          <w:p w14:paraId="5C92F1FA" w14:textId="77777777" w:rsidR="00CC0DFB" w:rsidRDefault="000B17A1" w:rsidP="000B17A1">
            <w:pPr>
              <w:spacing w:after="0" w:line="259" w:lineRule="auto"/>
              <w:jc w:val="center"/>
              <w:rPr>
                <w:rFonts w:eastAsia="Times New Roman" w:cs="Times New Roman"/>
                <w:lang w:eastAsia="it-IT"/>
              </w:rPr>
            </w:pPr>
            <w:r>
              <w:rPr>
                <w:rFonts w:eastAsia="Times New Roman" w:cs="Times New Roman"/>
                <w:lang w:eastAsia="it-IT"/>
              </w:rPr>
              <w:t>-0,6%</w:t>
            </w:r>
          </w:p>
        </w:tc>
      </w:tr>
    </w:tbl>
    <w:p w14:paraId="7198EB89" w14:textId="77777777" w:rsidR="00CC0DFB" w:rsidRDefault="00CC0DFB" w:rsidP="000B17A1">
      <w:pPr>
        <w:pStyle w:val="Standard"/>
        <w:spacing w:after="0" w:line="259" w:lineRule="auto"/>
        <w:jc w:val="both"/>
      </w:pPr>
    </w:p>
    <w:sectPr w:rsidR="00CC0DFB">
      <w:headerReference w:type="default" r:id="rId6"/>
      <w:foot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FDDBD" w14:textId="77777777" w:rsidR="000B17A1" w:rsidRDefault="000B17A1">
      <w:pPr>
        <w:spacing w:after="0" w:line="240" w:lineRule="auto"/>
      </w:pPr>
      <w:r>
        <w:separator/>
      </w:r>
    </w:p>
  </w:endnote>
  <w:endnote w:type="continuationSeparator" w:id="0">
    <w:p w14:paraId="5DDD2B21" w14:textId="77777777" w:rsidR="000B17A1" w:rsidRDefault="000B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ECE9" w14:textId="77777777" w:rsidR="000B17A1" w:rsidRDefault="000B17A1">
    <w:pPr>
      <w:pStyle w:val="Pidipagina"/>
      <w:jc w:val="right"/>
      <w:rPr>
        <w:b/>
        <w:bCs/>
        <w:i/>
        <w:iCs/>
      </w:rPr>
    </w:pPr>
    <w:r>
      <w:rPr>
        <w:b/>
        <w:bCs/>
        <w:i/>
        <w:iCs/>
      </w:rPr>
      <w:t>Fonte: Ufficio Studi Gruppo Tecnocasa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3E0A" w14:textId="77777777" w:rsidR="000B17A1" w:rsidRDefault="000B17A1">
      <w:pPr>
        <w:spacing w:after="0" w:line="240" w:lineRule="auto"/>
      </w:pPr>
      <w:r>
        <w:rPr>
          <w:color w:val="000000"/>
        </w:rPr>
        <w:separator/>
      </w:r>
    </w:p>
  </w:footnote>
  <w:footnote w:type="continuationSeparator" w:id="0">
    <w:p w14:paraId="5FDC0E7B" w14:textId="77777777" w:rsidR="000B17A1" w:rsidRDefault="000B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475C" w14:textId="77777777" w:rsidR="000B17A1" w:rsidRDefault="000B17A1">
    <w:pPr>
      <w:pStyle w:val="Intestazione"/>
      <w:rPr>
        <w:b/>
        <w:bCs/>
        <w:color w:val="C00000"/>
        <w:sz w:val="24"/>
        <w:szCs w:val="24"/>
      </w:rPr>
    </w:pPr>
    <w:r>
      <w:rPr>
        <w:noProof/>
      </w:rPr>
      <w:drawing>
        <wp:inline distT="0" distB="0" distL="0" distR="0" wp14:anchorId="7B992B83" wp14:editId="3E274A62">
          <wp:extent cx="1431292" cy="437512"/>
          <wp:effectExtent l="0" t="0" r="0" b="638"/>
          <wp:docPr id="2052995490" name="Immagine 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1292" cy="437512"/>
                  </a:xfrm>
                  <a:prstGeom prst="rect">
                    <a:avLst/>
                  </a:prstGeom>
                  <a:noFill/>
                  <a:ln>
                    <a:noFill/>
                    <a:prstDash/>
                  </a:ln>
                </pic:spPr>
              </pic:pic>
            </a:graphicData>
          </a:graphic>
        </wp:inline>
      </w:drawing>
    </w:r>
    <w:r>
      <w:t xml:space="preserve">                   </w:t>
    </w:r>
    <w:r>
      <w:rPr>
        <w:b/>
        <w:bCs/>
        <w:color w:val="C00000"/>
        <w:sz w:val="24"/>
        <w:szCs w:val="24"/>
      </w:rPr>
      <w:t>CONFERENZA STAMPA IMMOBILI PER L’IMPRESA 04.12.24</w:t>
    </w:r>
  </w:p>
  <w:p w14:paraId="5D0A1027" w14:textId="77777777" w:rsidR="000B17A1" w:rsidRPr="000B17A1" w:rsidRDefault="000B17A1">
    <w:pPr>
      <w:pStyle w:val="Intestazion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0DFB"/>
    <w:rsid w:val="000B17A1"/>
    <w:rsid w:val="006E12BF"/>
    <w:rsid w:val="00CC0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D24"/>
  <w15:docId w15:val="{72FFFC00-925A-4FBE-9A7A-5D2B3807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SimSun" w:hAnsi="Aptos" w:cs="Aptos"/>
        <w:kern w:val="3"/>
        <w:sz w:val="22"/>
        <w:szCs w:val="22"/>
        <w:lang w:val="it-IT"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keepLines/>
      <w:spacing w:before="360" w:after="80"/>
      <w:outlineLvl w:val="0"/>
    </w:pPr>
    <w:rPr>
      <w:rFonts w:ascii="Aptos Display" w:hAnsi="Aptos Display" w:cs="F"/>
      <w:color w:val="0F4761"/>
      <w:sz w:val="40"/>
      <w:szCs w:val="40"/>
    </w:rPr>
  </w:style>
  <w:style w:type="paragraph" w:styleId="Titolo2">
    <w:name w:val="heading 2"/>
    <w:basedOn w:val="Standard"/>
    <w:next w:val="Textbody"/>
    <w:uiPriority w:val="9"/>
    <w:semiHidden/>
    <w:unhideWhenUsed/>
    <w:qFormat/>
    <w:pPr>
      <w:keepNext/>
      <w:keepLines/>
      <w:spacing w:before="160" w:after="80"/>
      <w:outlineLvl w:val="1"/>
    </w:pPr>
    <w:rPr>
      <w:rFonts w:ascii="Aptos Display" w:hAnsi="Aptos Display" w:cs="F"/>
      <w:color w:val="0F4761"/>
      <w:sz w:val="32"/>
      <w:szCs w:val="32"/>
    </w:rPr>
  </w:style>
  <w:style w:type="paragraph" w:styleId="Titolo3">
    <w:name w:val="heading 3"/>
    <w:basedOn w:val="Standard"/>
    <w:next w:val="Textbody"/>
    <w:uiPriority w:val="9"/>
    <w:semiHidden/>
    <w:unhideWhenUsed/>
    <w:qFormat/>
    <w:pPr>
      <w:keepNext/>
      <w:keepLines/>
      <w:spacing w:before="160" w:after="80"/>
      <w:outlineLvl w:val="2"/>
    </w:pPr>
    <w:rPr>
      <w:rFonts w:cs="F"/>
      <w:color w:val="0F4761"/>
      <w:sz w:val="28"/>
      <w:szCs w:val="28"/>
    </w:rPr>
  </w:style>
  <w:style w:type="paragraph" w:styleId="Titolo4">
    <w:name w:val="heading 4"/>
    <w:basedOn w:val="Standard"/>
    <w:next w:val="Textbody"/>
    <w:uiPriority w:val="9"/>
    <w:semiHidden/>
    <w:unhideWhenUsed/>
    <w:qFormat/>
    <w:pPr>
      <w:keepNext/>
      <w:keepLines/>
      <w:spacing w:before="80" w:after="40"/>
      <w:outlineLvl w:val="3"/>
    </w:pPr>
    <w:rPr>
      <w:rFonts w:cs="F"/>
      <w:i/>
      <w:iCs/>
      <w:color w:val="0F4761"/>
    </w:rPr>
  </w:style>
  <w:style w:type="paragraph" w:styleId="Titolo5">
    <w:name w:val="heading 5"/>
    <w:basedOn w:val="Standard"/>
    <w:next w:val="Textbody"/>
    <w:uiPriority w:val="9"/>
    <w:semiHidden/>
    <w:unhideWhenUsed/>
    <w:qFormat/>
    <w:pPr>
      <w:keepNext/>
      <w:keepLines/>
      <w:spacing w:before="80" w:after="40"/>
      <w:outlineLvl w:val="4"/>
    </w:pPr>
    <w:rPr>
      <w:rFonts w:cs="F"/>
      <w:color w:val="0F4761"/>
    </w:rPr>
  </w:style>
  <w:style w:type="paragraph" w:styleId="Titolo6">
    <w:name w:val="heading 6"/>
    <w:basedOn w:val="Standard"/>
    <w:next w:val="Textbody"/>
    <w:uiPriority w:val="9"/>
    <w:semiHidden/>
    <w:unhideWhenUsed/>
    <w:qFormat/>
    <w:pPr>
      <w:keepNext/>
      <w:keepLines/>
      <w:spacing w:before="40" w:after="0"/>
      <w:outlineLvl w:val="5"/>
    </w:pPr>
    <w:rPr>
      <w:rFonts w:cs="F"/>
      <w:i/>
      <w:iCs/>
      <w:color w:val="595959"/>
    </w:rPr>
  </w:style>
  <w:style w:type="paragraph" w:styleId="Titolo7">
    <w:name w:val="heading 7"/>
    <w:basedOn w:val="Standard"/>
    <w:next w:val="Textbody"/>
    <w:pPr>
      <w:keepNext/>
      <w:keepLines/>
      <w:spacing w:before="40" w:after="0"/>
      <w:outlineLvl w:val="6"/>
    </w:pPr>
    <w:rPr>
      <w:rFonts w:cs="F"/>
      <w:color w:val="595959"/>
    </w:rPr>
  </w:style>
  <w:style w:type="paragraph" w:styleId="Titolo8">
    <w:name w:val="heading 8"/>
    <w:basedOn w:val="Standard"/>
    <w:next w:val="Textbody"/>
    <w:pPr>
      <w:keepNext/>
      <w:keepLines/>
      <w:spacing w:after="0"/>
      <w:outlineLvl w:val="7"/>
    </w:pPr>
    <w:rPr>
      <w:rFonts w:cs="F"/>
      <w:i/>
      <w:iCs/>
      <w:color w:val="272727"/>
    </w:rPr>
  </w:style>
  <w:style w:type="paragraph" w:styleId="Titolo9">
    <w:name w:val="heading 9"/>
    <w:basedOn w:val="Standard"/>
    <w:next w:val="Textbody"/>
    <w:pPr>
      <w:keepNext/>
      <w:keepLines/>
      <w:spacing w:after="0"/>
      <w:outlineLvl w:val="8"/>
    </w:pPr>
    <w:rPr>
      <w:rFonts w:cs="F"/>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200" w:line="276" w:lineRule="auto"/>
    </w:pPr>
    <w:rPr>
      <w:rFonts w:ascii="Calibri" w:hAnsi="Calibri" w:cs="Calibri"/>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spacing w:after="80" w:line="240" w:lineRule="auto"/>
    </w:pPr>
    <w:rPr>
      <w:rFonts w:ascii="Aptos Display" w:hAnsi="Aptos Display" w:cs="F"/>
      <w:b/>
      <w:bCs/>
      <w:spacing w:val="-10"/>
      <w:sz w:val="56"/>
      <w:szCs w:val="56"/>
    </w:rPr>
  </w:style>
  <w:style w:type="paragraph" w:styleId="Sottotitolo">
    <w:name w:val="Subtitle"/>
    <w:basedOn w:val="Standard"/>
    <w:next w:val="Textbody"/>
    <w:uiPriority w:val="11"/>
    <w:qFormat/>
    <w:rPr>
      <w:rFonts w:cs="F"/>
      <w:i/>
      <w:iCs/>
      <w:color w:val="595959"/>
      <w:spacing w:val="15"/>
      <w:sz w:val="28"/>
      <w:szCs w:val="28"/>
    </w:rPr>
  </w:style>
  <w:style w:type="paragraph" w:styleId="Citazione">
    <w:name w:val="Quote"/>
    <w:basedOn w:val="Standard"/>
    <w:pPr>
      <w:spacing w:before="160" w:after="160"/>
      <w:jc w:val="center"/>
    </w:pPr>
    <w:rPr>
      <w:i/>
      <w:iCs/>
      <w:color w:val="404040"/>
    </w:rPr>
  </w:style>
  <w:style w:type="paragraph" w:styleId="Paragrafoelenco">
    <w:name w:val="List Paragraph"/>
    <w:basedOn w:val="Standard"/>
    <w:pPr>
      <w:ind w:left="720"/>
    </w:pPr>
  </w:style>
  <w:style w:type="paragraph" w:styleId="Citazioneintensa">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Titolo1Carattere">
    <w:name w:val="Titolo 1 Carattere"/>
    <w:basedOn w:val="Carpredefinitoparagrafo"/>
    <w:rPr>
      <w:rFonts w:ascii="Aptos Display" w:hAnsi="Aptos Display" w:cs="F"/>
      <w:color w:val="0F4761"/>
      <w:sz w:val="40"/>
      <w:szCs w:val="40"/>
    </w:rPr>
  </w:style>
  <w:style w:type="character" w:customStyle="1" w:styleId="Titolo2Carattere">
    <w:name w:val="Titolo 2 Carattere"/>
    <w:basedOn w:val="Carpredefinitoparagrafo"/>
    <w:rPr>
      <w:rFonts w:ascii="Aptos Display" w:hAnsi="Aptos Display" w:cs="F"/>
      <w:color w:val="0F4761"/>
      <w:sz w:val="32"/>
      <w:szCs w:val="32"/>
    </w:rPr>
  </w:style>
  <w:style w:type="character" w:customStyle="1" w:styleId="Titolo3Carattere">
    <w:name w:val="Titolo 3 Carattere"/>
    <w:basedOn w:val="Carpredefinitoparagrafo"/>
    <w:rPr>
      <w:rFonts w:cs="F"/>
      <w:color w:val="0F4761"/>
      <w:sz w:val="28"/>
      <w:szCs w:val="28"/>
    </w:rPr>
  </w:style>
  <w:style w:type="character" w:customStyle="1" w:styleId="Titolo4Carattere">
    <w:name w:val="Titolo 4 Carattere"/>
    <w:basedOn w:val="Carpredefinitoparagrafo"/>
    <w:rPr>
      <w:rFonts w:cs="F"/>
      <w:i/>
      <w:iCs/>
      <w:color w:val="0F4761"/>
    </w:rPr>
  </w:style>
  <w:style w:type="character" w:customStyle="1" w:styleId="Titolo5Carattere">
    <w:name w:val="Titolo 5 Carattere"/>
    <w:basedOn w:val="Carpredefinitoparagrafo"/>
    <w:rPr>
      <w:rFonts w:cs="F"/>
      <w:color w:val="0F4761"/>
    </w:rPr>
  </w:style>
  <w:style w:type="character" w:customStyle="1" w:styleId="Titolo6Carattere">
    <w:name w:val="Titolo 6 Carattere"/>
    <w:basedOn w:val="Carpredefinitoparagrafo"/>
    <w:rPr>
      <w:rFonts w:cs="F"/>
      <w:i/>
      <w:iCs/>
      <w:color w:val="595959"/>
    </w:rPr>
  </w:style>
  <w:style w:type="character" w:customStyle="1" w:styleId="Titolo7Carattere">
    <w:name w:val="Titolo 7 Carattere"/>
    <w:basedOn w:val="Carpredefinitoparagrafo"/>
    <w:rPr>
      <w:rFonts w:cs="F"/>
      <w:color w:val="595959"/>
    </w:rPr>
  </w:style>
  <w:style w:type="character" w:customStyle="1" w:styleId="Titolo8Carattere">
    <w:name w:val="Titolo 8 Carattere"/>
    <w:basedOn w:val="Carpredefinitoparagrafo"/>
    <w:rPr>
      <w:rFonts w:cs="F"/>
      <w:i/>
      <w:iCs/>
      <w:color w:val="272727"/>
    </w:rPr>
  </w:style>
  <w:style w:type="character" w:customStyle="1" w:styleId="Titolo9Carattere">
    <w:name w:val="Titolo 9 Carattere"/>
    <w:basedOn w:val="Carpredefinitoparagrafo"/>
    <w:rPr>
      <w:rFonts w:cs="F"/>
      <w:color w:val="272727"/>
    </w:rPr>
  </w:style>
  <w:style w:type="character" w:customStyle="1" w:styleId="TitoloCarattere">
    <w:name w:val="Titolo Carattere"/>
    <w:basedOn w:val="Carpredefinitoparagrafo"/>
    <w:rPr>
      <w:rFonts w:ascii="Aptos Display" w:hAnsi="Aptos Display" w:cs="F"/>
      <w:spacing w:val="-10"/>
      <w:kern w:val="3"/>
      <w:sz w:val="56"/>
      <w:szCs w:val="56"/>
    </w:rPr>
  </w:style>
  <w:style w:type="character" w:customStyle="1" w:styleId="SottotitoloCarattere">
    <w:name w:val="Sottotitolo Carattere"/>
    <w:basedOn w:val="Carpredefinitoparagrafo"/>
    <w:rPr>
      <w:rFonts w:cs="F"/>
      <w:color w:val="595959"/>
      <w:spacing w:val="15"/>
      <w:sz w:val="28"/>
      <w:szCs w:val="28"/>
    </w:rPr>
  </w:style>
  <w:style w:type="character" w:customStyle="1" w:styleId="CitazioneCarattere">
    <w:name w:val="Citazione Carattere"/>
    <w:basedOn w:val="Carpredefinitoparagrafo"/>
    <w:rPr>
      <w:i/>
      <w:iCs/>
      <w:color w:val="404040"/>
    </w:rPr>
  </w:style>
  <w:style w:type="character" w:styleId="Enfasiintensa">
    <w:name w:val="Intense Emphasis"/>
    <w:basedOn w:val="Carpredefinitoparagrafo"/>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Megliola</dc:creator>
  <cp:lastModifiedBy>Silvia Spadini</cp:lastModifiedBy>
  <cp:revision>2</cp:revision>
  <cp:lastPrinted>2024-12-03T16:00:00Z</cp:lastPrinted>
  <dcterms:created xsi:type="dcterms:W3CDTF">2024-12-03T16:00:00Z</dcterms:created>
  <dcterms:modified xsi:type="dcterms:W3CDTF">2024-12-03T16:00:00Z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