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D755" w14:textId="2A1D0F88" w:rsidR="00CF165D" w:rsidRPr="00165586" w:rsidRDefault="00CF165D" w:rsidP="00DA06BE">
      <w:pPr>
        <w:spacing w:after="0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ROMA</w:t>
      </w:r>
    </w:p>
    <w:p w14:paraId="0AADBDEF" w14:textId="77777777" w:rsidR="00CF165D" w:rsidRPr="00796130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796130">
        <w:rPr>
          <w:b/>
          <w:bCs/>
          <w:color w:val="C00000"/>
          <w:sz w:val="28"/>
          <w:szCs w:val="28"/>
        </w:rPr>
        <w:t>IL MERCATO DEGLI IMMOBILI AD USO COMMERCIALE E INDUSTRIALE</w:t>
      </w:r>
    </w:p>
    <w:p w14:paraId="3DF85C4D" w14:textId="77777777" w:rsidR="00CF165D" w:rsidRDefault="00CF165D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F9B2191" w14:textId="42F3A7FA" w:rsidR="0018110E" w:rsidRPr="00CF165D" w:rsidRDefault="00CF165D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="0018110E" w:rsidRPr="00CF165D">
        <w:rPr>
          <w:rFonts w:ascii="Calibri" w:hAnsi="Calibri" w:cs="Calibri"/>
          <w:sz w:val="24"/>
          <w:szCs w:val="24"/>
        </w:rPr>
        <w:t xml:space="preserve">Intensa la ricerca di </w:t>
      </w:r>
      <w:r w:rsidR="0018110E" w:rsidRPr="00CF165D">
        <w:rPr>
          <w:rFonts w:ascii="Calibri" w:hAnsi="Calibri" w:cs="Calibri"/>
          <w:b/>
          <w:bCs/>
          <w:i/>
          <w:iCs/>
          <w:sz w:val="24"/>
          <w:szCs w:val="24"/>
        </w:rPr>
        <w:t>negozi</w:t>
      </w:r>
      <w:r w:rsidR="0018110E" w:rsidRPr="00CF165D">
        <w:rPr>
          <w:rFonts w:ascii="Calibri" w:hAnsi="Calibri" w:cs="Calibri"/>
          <w:sz w:val="24"/>
          <w:szCs w:val="24"/>
        </w:rPr>
        <w:t xml:space="preserve"> nel quartiere Prati in attesa del Giubileo, </w:t>
      </w:r>
      <w:r>
        <w:rPr>
          <w:rFonts w:ascii="Calibri" w:hAnsi="Calibri" w:cs="Calibri"/>
          <w:sz w:val="24"/>
          <w:szCs w:val="24"/>
        </w:rPr>
        <w:t xml:space="preserve">- afferma </w:t>
      </w:r>
      <w:r w:rsidRPr="00CF165D">
        <w:rPr>
          <w:rFonts w:ascii="Calibri" w:hAnsi="Calibri" w:cs="Calibri"/>
          <w:b/>
          <w:bCs/>
          <w:sz w:val="24"/>
          <w:szCs w:val="24"/>
        </w:rPr>
        <w:t>Mirko Fianco, Affiliato Tecnocasa Immobili per l’Impresa</w:t>
      </w:r>
      <w:r>
        <w:rPr>
          <w:rFonts w:ascii="Calibri" w:hAnsi="Calibri" w:cs="Calibri"/>
          <w:sz w:val="24"/>
          <w:szCs w:val="24"/>
        </w:rPr>
        <w:t xml:space="preserve"> - </w:t>
      </w:r>
      <w:r w:rsidR="0018110E" w:rsidRPr="00CF165D">
        <w:rPr>
          <w:rFonts w:ascii="Calibri" w:hAnsi="Calibri" w:cs="Calibri"/>
          <w:sz w:val="24"/>
          <w:szCs w:val="24"/>
        </w:rPr>
        <w:t>in particolare a Prati</w:t>
      </w:r>
      <w:r w:rsidR="001454C2" w:rsidRPr="00CF165D">
        <w:rPr>
          <w:rFonts w:ascii="Calibri" w:hAnsi="Calibri" w:cs="Calibri"/>
          <w:sz w:val="24"/>
          <w:szCs w:val="24"/>
        </w:rPr>
        <w:t>-</w:t>
      </w:r>
      <w:r w:rsidR="0018110E" w:rsidRPr="00CF165D">
        <w:rPr>
          <w:rFonts w:ascii="Calibri" w:hAnsi="Calibri" w:cs="Calibri"/>
          <w:sz w:val="24"/>
          <w:szCs w:val="24"/>
        </w:rPr>
        <w:t xml:space="preserve">Borgo, in via della Conciliazione. Si cercano piccoli spazi per aprire prevalentemente ristoranti, nonostante la contingentazione delle licenze, e </w:t>
      </w:r>
      <w:proofErr w:type="spellStart"/>
      <w:r w:rsidR="0018110E" w:rsidRPr="00CF165D">
        <w:rPr>
          <w:rFonts w:ascii="Calibri" w:hAnsi="Calibri" w:cs="Calibri"/>
          <w:sz w:val="24"/>
          <w:szCs w:val="24"/>
        </w:rPr>
        <w:t>locker</w:t>
      </w:r>
      <w:proofErr w:type="spellEnd"/>
      <w:r w:rsidR="0018110E" w:rsidRPr="00CF165D">
        <w:rPr>
          <w:rFonts w:ascii="Calibri" w:hAnsi="Calibri" w:cs="Calibri"/>
          <w:sz w:val="24"/>
          <w:szCs w:val="24"/>
        </w:rPr>
        <w:t xml:space="preserve"> per bagagli. In questa zona si affitta a 1920 € al mq annuo. </w:t>
      </w:r>
      <w:r w:rsidR="00A75CFA" w:rsidRPr="00CF165D">
        <w:rPr>
          <w:rFonts w:ascii="Calibri" w:hAnsi="Calibri" w:cs="Calibri"/>
          <w:sz w:val="24"/>
          <w:szCs w:val="24"/>
        </w:rPr>
        <w:t>S</w:t>
      </w:r>
      <w:r w:rsidR="0018110E" w:rsidRPr="00CF165D">
        <w:rPr>
          <w:rFonts w:ascii="Calibri" w:hAnsi="Calibri" w:cs="Calibri"/>
          <w:sz w:val="24"/>
          <w:szCs w:val="24"/>
        </w:rPr>
        <w:t>empre molto apprezzata via Cola di Rienzo, dove nel tratto più interessante, a ridosso di piazza Risorgimento si affitta a 2400 € al mq annuo. Cercano prevalentemente attività di vendita al dettaglio di abbigliamento, accessori.</w:t>
      </w:r>
      <w:r w:rsidR="00E4213D" w:rsidRPr="00CF165D">
        <w:rPr>
          <w:rFonts w:ascii="Calibri" w:hAnsi="Calibri" w:cs="Calibri"/>
          <w:sz w:val="24"/>
          <w:szCs w:val="24"/>
        </w:rPr>
        <w:t xml:space="preserve"> </w:t>
      </w:r>
      <w:r w:rsidR="0018110E" w:rsidRPr="00CF165D">
        <w:rPr>
          <w:rFonts w:ascii="Calibri" w:hAnsi="Calibri" w:cs="Calibri"/>
          <w:sz w:val="24"/>
          <w:szCs w:val="24"/>
        </w:rPr>
        <w:t xml:space="preserve">I canoni di locazione verso piazza Libertà oscillano da 840 € fino a 1200 € al mq annuo. </w:t>
      </w:r>
    </w:p>
    <w:p w14:paraId="5B42A5CA" w14:textId="2526ACE9" w:rsidR="00A75592" w:rsidRPr="00CF165D" w:rsidRDefault="00793E82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 xml:space="preserve">Nei quartieri Tuscolana e Tiburtina buona la domanda di chi avvia attività di servizi.  Le vie di maggior passaggio sono via Tuscolana, viale San Giovanni Bosco e via dei Consoli nel quartiere Tuscolano. Qui si toccano i valori più elevati che arrivano a 1200 € al mq annuo e si insediano i </w:t>
      </w:r>
      <w:proofErr w:type="gramStart"/>
      <w:r w:rsidRPr="00CF165D">
        <w:rPr>
          <w:rFonts w:ascii="Calibri" w:hAnsi="Calibri" w:cs="Calibri"/>
          <w:sz w:val="24"/>
          <w:szCs w:val="24"/>
        </w:rPr>
        <w:t>brand</w:t>
      </w:r>
      <w:proofErr w:type="gramEnd"/>
      <w:r w:rsidRPr="00CF165D">
        <w:rPr>
          <w:rFonts w:ascii="Calibri" w:hAnsi="Calibri" w:cs="Calibri"/>
          <w:sz w:val="24"/>
          <w:szCs w:val="24"/>
        </w:rPr>
        <w:t xml:space="preserve"> più importanti.  Via Tiburtina è un’altra importante arteria, molto richiesta con presenza di metrature molto ampie</w:t>
      </w:r>
      <w:r w:rsidR="00A75592" w:rsidRPr="00CF165D">
        <w:rPr>
          <w:rFonts w:ascii="Calibri" w:hAnsi="Calibri" w:cs="Calibri"/>
          <w:sz w:val="24"/>
          <w:szCs w:val="24"/>
        </w:rPr>
        <w:t xml:space="preserve">. </w:t>
      </w:r>
      <w:r w:rsidR="00E4213D" w:rsidRPr="00CF165D">
        <w:rPr>
          <w:rFonts w:ascii="Calibri" w:hAnsi="Calibri" w:cs="Calibri"/>
          <w:sz w:val="24"/>
          <w:szCs w:val="24"/>
        </w:rPr>
        <w:t xml:space="preserve">I professionisti delle nostre agenzie Tecnocasa e Tecnorete Immobili per l’impresa hanno </w:t>
      </w:r>
      <w:r w:rsidRPr="00CF165D">
        <w:rPr>
          <w:rFonts w:ascii="Calibri" w:hAnsi="Calibri" w:cs="Calibri"/>
          <w:sz w:val="24"/>
          <w:szCs w:val="24"/>
        </w:rPr>
        <w:t xml:space="preserve">notato nell’anno in corso una discreta fiducia </w:t>
      </w:r>
      <w:r w:rsidR="00A75592" w:rsidRPr="00CF165D">
        <w:rPr>
          <w:rFonts w:ascii="Calibri" w:hAnsi="Calibri" w:cs="Calibri"/>
          <w:sz w:val="24"/>
          <w:szCs w:val="24"/>
        </w:rPr>
        <w:t xml:space="preserve">degli imprenditori che hanno optato per l’acquisto </w:t>
      </w:r>
      <w:r w:rsidRPr="00CF165D">
        <w:rPr>
          <w:rFonts w:ascii="Calibri" w:hAnsi="Calibri" w:cs="Calibri"/>
          <w:sz w:val="24"/>
          <w:szCs w:val="24"/>
        </w:rPr>
        <w:t>di immobili strumentali</w:t>
      </w:r>
      <w:r w:rsidR="00A75592" w:rsidRPr="00CF165D">
        <w:rPr>
          <w:rFonts w:ascii="Calibri" w:hAnsi="Calibri" w:cs="Calibri"/>
          <w:sz w:val="24"/>
          <w:szCs w:val="24"/>
        </w:rPr>
        <w:t>, dove hanno concentrato l’attività</w:t>
      </w:r>
      <w:r w:rsidR="00E4213D" w:rsidRPr="00CF165D">
        <w:rPr>
          <w:rFonts w:ascii="Calibri" w:hAnsi="Calibri" w:cs="Calibri"/>
          <w:sz w:val="24"/>
          <w:szCs w:val="24"/>
        </w:rPr>
        <w:t>; s</w:t>
      </w:r>
      <w:r w:rsidR="00A75592" w:rsidRPr="00CF165D">
        <w:rPr>
          <w:rFonts w:ascii="Calibri" w:hAnsi="Calibri" w:cs="Calibri"/>
          <w:sz w:val="24"/>
          <w:szCs w:val="24"/>
        </w:rPr>
        <w:t xml:space="preserve">pesso si tratta dello stesso in cui già operano. </w:t>
      </w:r>
    </w:p>
    <w:p w14:paraId="30E82D0E" w14:textId="56154422" w:rsidR="00A75592" w:rsidRPr="00CF165D" w:rsidRDefault="00A75592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 xml:space="preserve">A Ostiense, in particolare nella zona di Porto Fluviale, tiene la ristorazione e sono in aumento le richieste di spazi per aprire attività di questo tipo che non riescono a insediarsi nelle zone più centrali dove c’è il contingentamento delle licenze. </w:t>
      </w:r>
    </w:p>
    <w:p w14:paraId="730F62DF" w14:textId="618FAC0B" w:rsidR="004811F7" w:rsidRPr="00CF165D" w:rsidRDefault="00793E82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>A</w:t>
      </w:r>
      <w:r w:rsidR="004811F7" w:rsidRPr="00CF165D">
        <w:rPr>
          <w:rFonts w:ascii="Calibri" w:hAnsi="Calibri" w:cs="Calibri"/>
          <w:sz w:val="24"/>
          <w:szCs w:val="24"/>
        </w:rPr>
        <w:t xml:space="preserve"> Magliana e Marconi </w:t>
      </w:r>
      <w:r w:rsidR="00C26DAF" w:rsidRPr="00CF165D">
        <w:rPr>
          <w:rFonts w:ascii="Calibri" w:hAnsi="Calibri" w:cs="Calibri"/>
          <w:sz w:val="24"/>
          <w:szCs w:val="24"/>
        </w:rPr>
        <w:t>t</w:t>
      </w:r>
      <w:r w:rsidR="004811F7" w:rsidRPr="00CF165D">
        <w:rPr>
          <w:rFonts w:ascii="Calibri" w:hAnsi="Calibri" w:cs="Calibri"/>
          <w:sz w:val="24"/>
          <w:szCs w:val="24"/>
        </w:rPr>
        <w:t xml:space="preserve">iene sempre il food e si segnala una ripresa di ricerca di spazi da parte di franchising del settore arredamento/casa. Le vie di maggior passaggio sono via della Magliana, viale Marconi e viale dei Colli Portuensi. Il tratto più richiesto è viale Marconi fino a Lungotevere degli Inventori dove un locale commerciale si loca a 480 € al mq annuo. I prezzi sono di 7000 € al mq. </w:t>
      </w:r>
    </w:p>
    <w:p w14:paraId="537827A0" w14:textId="52C05BD5" w:rsidR="004811F7" w:rsidRPr="00CF165D" w:rsidRDefault="004811F7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 xml:space="preserve">A sud </w:t>
      </w:r>
      <w:r w:rsidR="00A75CFA" w:rsidRPr="00CF165D">
        <w:rPr>
          <w:rFonts w:ascii="Calibri" w:hAnsi="Calibri" w:cs="Calibri"/>
          <w:sz w:val="24"/>
          <w:szCs w:val="24"/>
        </w:rPr>
        <w:t>della città</w:t>
      </w:r>
      <w:r w:rsidRPr="00CF165D">
        <w:rPr>
          <w:rFonts w:ascii="Calibri" w:hAnsi="Calibri" w:cs="Calibri"/>
          <w:sz w:val="24"/>
          <w:szCs w:val="24"/>
        </w:rPr>
        <w:t xml:space="preserve"> </w:t>
      </w:r>
      <w:r w:rsidR="00C26DAF" w:rsidRPr="00CF165D">
        <w:rPr>
          <w:rFonts w:ascii="Calibri" w:hAnsi="Calibri" w:cs="Calibri"/>
          <w:sz w:val="24"/>
          <w:szCs w:val="24"/>
        </w:rPr>
        <w:t>c</w:t>
      </w:r>
      <w:r w:rsidRPr="00CF165D">
        <w:rPr>
          <w:rFonts w:ascii="Calibri" w:hAnsi="Calibri" w:cs="Calibri"/>
          <w:sz w:val="24"/>
          <w:szCs w:val="24"/>
        </w:rPr>
        <w:t>ontinua ad esserci interesse da parte di sviluppatori di supermercati per la ricerca di spazi oltre i 200 mq</w:t>
      </w:r>
      <w:r w:rsidR="00C26DAF" w:rsidRPr="00CF165D">
        <w:rPr>
          <w:rFonts w:ascii="Calibri" w:hAnsi="Calibri" w:cs="Calibri"/>
          <w:sz w:val="24"/>
          <w:szCs w:val="24"/>
        </w:rPr>
        <w:t xml:space="preserve">. </w:t>
      </w:r>
    </w:p>
    <w:p w14:paraId="13CCC32F" w14:textId="387F53F1" w:rsidR="006D6DF9" w:rsidRPr="00CF165D" w:rsidRDefault="006D6DF9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>Nel quartiere Nomentano</w:t>
      </w:r>
      <w:r w:rsidR="001454C2" w:rsidRPr="00CF165D">
        <w:rPr>
          <w:rFonts w:ascii="Calibri" w:hAnsi="Calibri" w:cs="Calibri"/>
          <w:sz w:val="24"/>
          <w:szCs w:val="24"/>
        </w:rPr>
        <w:t>-</w:t>
      </w:r>
      <w:r w:rsidRPr="00CF165D">
        <w:rPr>
          <w:rFonts w:ascii="Calibri" w:hAnsi="Calibri" w:cs="Calibri"/>
          <w:sz w:val="24"/>
          <w:szCs w:val="24"/>
        </w:rPr>
        <w:t>Ionio il mercato dei locali commerciali evidenzia una buona domanda di soluzioni in affitto</w:t>
      </w:r>
      <w:r w:rsidR="00C26DAF" w:rsidRPr="00CF165D">
        <w:rPr>
          <w:rFonts w:ascii="Calibri" w:hAnsi="Calibri" w:cs="Calibri"/>
          <w:sz w:val="24"/>
          <w:szCs w:val="24"/>
        </w:rPr>
        <w:t xml:space="preserve">. </w:t>
      </w:r>
      <w:r w:rsidRPr="00CF165D">
        <w:rPr>
          <w:rFonts w:ascii="Calibri" w:hAnsi="Calibri" w:cs="Calibri"/>
          <w:sz w:val="24"/>
          <w:szCs w:val="24"/>
        </w:rPr>
        <w:t>Su corso Trieste, viale Libia, viale Eritrea si ricercano spazi di piccole medie dimensioni (non oltre 100 mq) per insediare attività legate al food, servizi alle persone (</w:t>
      </w:r>
      <w:r w:rsidR="001454C2" w:rsidRPr="00CF165D">
        <w:rPr>
          <w:rFonts w:ascii="Calibri" w:hAnsi="Calibri" w:cs="Calibri"/>
          <w:sz w:val="24"/>
          <w:szCs w:val="24"/>
        </w:rPr>
        <w:t xml:space="preserve">come </w:t>
      </w:r>
      <w:r w:rsidRPr="00CF165D">
        <w:rPr>
          <w:rFonts w:ascii="Calibri" w:hAnsi="Calibri" w:cs="Calibri"/>
          <w:sz w:val="24"/>
          <w:szCs w:val="24"/>
        </w:rPr>
        <w:t xml:space="preserve">centri estetici) e alle imprese. </w:t>
      </w:r>
    </w:p>
    <w:p w14:paraId="199BA9CF" w14:textId="6070C5CD" w:rsidR="00793E82" w:rsidRPr="00CF165D" w:rsidRDefault="00793E82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>Negli ultimi tempi si segnala una ricerca di spazi in vie non di transito da parte di imprenditori immigrati che avviano attività artigianali</w:t>
      </w:r>
      <w:r w:rsidR="008054BC" w:rsidRPr="00CF165D">
        <w:rPr>
          <w:rFonts w:ascii="Calibri" w:hAnsi="Calibri" w:cs="Calibri"/>
          <w:sz w:val="24"/>
          <w:szCs w:val="24"/>
        </w:rPr>
        <w:t>.</w:t>
      </w:r>
    </w:p>
    <w:p w14:paraId="2AC01FB0" w14:textId="61613FEF" w:rsidR="007A7C52" w:rsidRPr="00CF165D" w:rsidRDefault="007A7C52" w:rsidP="00DA06B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F165D">
        <w:rPr>
          <w:rFonts w:ascii="Calibri" w:eastAsia="Calibri" w:hAnsi="Calibri" w:cs="Calibri"/>
          <w:sz w:val="24"/>
          <w:szCs w:val="24"/>
        </w:rPr>
        <w:t xml:space="preserve">Per quanto riguarda gli immobili industriali, in particolare i </w:t>
      </w:r>
      <w:r w:rsidRPr="00CF165D">
        <w:rPr>
          <w:rFonts w:ascii="Calibri" w:eastAsia="Calibri" w:hAnsi="Calibri" w:cs="Calibri"/>
          <w:b/>
          <w:bCs/>
          <w:i/>
          <w:iCs/>
          <w:sz w:val="24"/>
          <w:szCs w:val="24"/>
        </w:rPr>
        <w:t>capannoni</w:t>
      </w:r>
      <w:r w:rsidRPr="00CF165D">
        <w:rPr>
          <w:rFonts w:ascii="Calibri" w:eastAsia="Calibri" w:hAnsi="Calibri" w:cs="Calibri"/>
          <w:sz w:val="24"/>
          <w:szCs w:val="24"/>
        </w:rPr>
        <w:t xml:space="preserve">, in provincia abbiamo notato una sofferenza </w:t>
      </w:r>
      <w:r w:rsidR="00793E82" w:rsidRPr="00CF165D">
        <w:rPr>
          <w:rFonts w:ascii="Calibri" w:eastAsia="Calibri" w:hAnsi="Calibri" w:cs="Calibri"/>
          <w:sz w:val="24"/>
          <w:szCs w:val="24"/>
        </w:rPr>
        <w:t>dal lato dell’</w:t>
      </w:r>
      <w:r w:rsidRPr="00CF165D">
        <w:rPr>
          <w:rFonts w:ascii="Calibri" w:eastAsia="Calibri" w:hAnsi="Calibri" w:cs="Calibri"/>
          <w:sz w:val="24"/>
          <w:szCs w:val="24"/>
        </w:rPr>
        <w:t>offerta, soprattutto nel polo industriale di Santa Palomba</w:t>
      </w:r>
      <w:r w:rsidR="00793E82" w:rsidRPr="00CF165D">
        <w:rPr>
          <w:rFonts w:ascii="Calibri" w:eastAsia="Calibri" w:hAnsi="Calibri" w:cs="Calibri"/>
          <w:sz w:val="24"/>
          <w:szCs w:val="24"/>
        </w:rPr>
        <w:t xml:space="preserve">. C’è carenza di </w:t>
      </w:r>
      <w:r w:rsidRPr="00CF165D">
        <w:rPr>
          <w:rFonts w:ascii="Calibri" w:eastAsia="Calibri" w:hAnsi="Calibri" w:cs="Calibri"/>
          <w:sz w:val="24"/>
          <w:szCs w:val="24"/>
        </w:rPr>
        <w:t>tagli compresi tra 800 e</w:t>
      </w:r>
      <w:r w:rsidR="00793E82" w:rsidRPr="00CF165D">
        <w:rPr>
          <w:rFonts w:ascii="Calibri" w:eastAsia="Calibri" w:hAnsi="Calibri" w:cs="Calibri"/>
          <w:sz w:val="24"/>
          <w:szCs w:val="24"/>
        </w:rPr>
        <w:t xml:space="preserve"> </w:t>
      </w:r>
      <w:r w:rsidRPr="00CF165D">
        <w:rPr>
          <w:rFonts w:ascii="Calibri" w:eastAsia="Calibri" w:hAnsi="Calibri" w:cs="Calibri"/>
          <w:sz w:val="24"/>
          <w:szCs w:val="24"/>
        </w:rPr>
        <w:t xml:space="preserve">1500 metri quadrati. La richiesta di aziende nel settore della logistica rimane molto vivace e cresce la domanda da parte delle imprese che operano nel settore delle energie rinnovabili e delle aziende di nicchia. </w:t>
      </w:r>
    </w:p>
    <w:p w14:paraId="70057053" w14:textId="2E021B0C" w:rsidR="007A7C52" w:rsidRPr="00CF165D" w:rsidRDefault="007A7C52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F165D">
        <w:rPr>
          <w:rFonts w:ascii="Calibri" w:hAnsi="Calibri" w:cs="Calibri"/>
          <w:sz w:val="24"/>
          <w:szCs w:val="24"/>
        </w:rPr>
        <w:t>Segnaliamo che a Pomezia, a fine anno, su un terreno industriale di circa 97 mila metri quadrati, sarà operativo</w:t>
      </w:r>
      <w:r w:rsidRPr="00CF165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CF165D">
        <w:rPr>
          <w:rFonts w:ascii="Calibri" w:hAnsi="Calibri" w:cs="Calibri"/>
          <w:sz w:val="24"/>
          <w:szCs w:val="24"/>
        </w:rPr>
        <w:t xml:space="preserve">un nuovo polo </w:t>
      </w:r>
      <w:r w:rsidR="008F4225" w:rsidRPr="00CF165D">
        <w:rPr>
          <w:rFonts w:ascii="Calibri" w:hAnsi="Calibri" w:cs="Calibri"/>
          <w:sz w:val="24"/>
          <w:szCs w:val="24"/>
        </w:rPr>
        <w:t xml:space="preserve">logistico </w:t>
      </w:r>
      <w:r w:rsidRPr="00CF165D">
        <w:rPr>
          <w:rFonts w:ascii="Calibri" w:hAnsi="Calibri" w:cs="Calibri"/>
          <w:sz w:val="24"/>
          <w:szCs w:val="24"/>
        </w:rPr>
        <w:t>di circa 26.000</w:t>
      </w:r>
      <w:r w:rsidRPr="00CF165D">
        <w:rPr>
          <w:rFonts w:ascii="Calibri" w:hAnsi="Calibri" w:cs="Calibri"/>
          <w:strike/>
          <w:sz w:val="24"/>
          <w:szCs w:val="24"/>
        </w:rPr>
        <w:t xml:space="preserve"> </w:t>
      </w:r>
      <w:r w:rsidRPr="00CF165D">
        <w:rPr>
          <w:rFonts w:ascii="Calibri" w:hAnsi="Calibri" w:cs="Calibri"/>
          <w:sz w:val="24"/>
          <w:szCs w:val="24"/>
        </w:rPr>
        <w:t>metri quadrati. Sorgerà in un’area strategica per il territorio di Roma. Sarà certificato “</w:t>
      </w:r>
      <w:proofErr w:type="spellStart"/>
      <w:r w:rsidRPr="00CF165D">
        <w:rPr>
          <w:rFonts w:ascii="Calibri" w:hAnsi="Calibri" w:cs="Calibri"/>
          <w:sz w:val="24"/>
          <w:szCs w:val="24"/>
        </w:rPr>
        <w:t>Breeam</w:t>
      </w:r>
      <w:proofErr w:type="spellEnd"/>
      <w:r w:rsidRPr="00CF165D">
        <w:rPr>
          <w:rFonts w:ascii="Calibri" w:hAnsi="Calibri" w:cs="Calibri"/>
          <w:sz w:val="24"/>
          <w:szCs w:val="24"/>
        </w:rPr>
        <w:t xml:space="preserve"> very good” grazie a un impianto fotovoltaico da 2,8 MW. Le aree verdi progettate, oltre a contribuire al miglioramento della biodiversità locale, potranno essere godute anche dalle persone che vi lavorano. </w:t>
      </w:r>
    </w:p>
    <w:p w14:paraId="071EC197" w14:textId="1BB31771" w:rsidR="007A7C52" w:rsidRPr="00CF165D" w:rsidRDefault="007A7C52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77919B1" w14:textId="09E14EF6" w:rsidR="00CF165D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  <w:proofErr w:type="gramStart"/>
      <w:r w:rsidRPr="00373003">
        <w:rPr>
          <w:b/>
          <w:bCs/>
          <w:color w:val="C00000"/>
          <w:sz w:val="28"/>
          <w:szCs w:val="28"/>
        </w:rPr>
        <w:lastRenderedPageBreak/>
        <w:t>TREND</w:t>
      </w:r>
      <w:proofErr w:type="gramEnd"/>
      <w:r w:rsidRPr="00373003">
        <w:rPr>
          <w:b/>
          <w:bCs/>
          <w:color w:val="C00000"/>
          <w:sz w:val="28"/>
          <w:szCs w:val="28"/>
        </w:rPr>
        <w:t xml:space="preserve"> PREZZI E LOCAZIONI IMMOBILI PER L’IMPRESA </w:t>
      </w:r>
      <w:r>
        <w:rPr>
          <w:b/>
          <w:bCs/>
          <w:color w:val="C00000"/>
          <w:sz w:val="28"/>
          <w:szCs w:val="28"/>
        </w:rPr>
        <w:t>-</w:t>
      </w:r>
      <w:r w:rsidRPr="00373003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ROMA</w:t>
      </w:r>
      <w:r w:rsidRPr="00373003">
        <w:rPr>
          <w:b/>
          <w:bCs/>
          <w:color w:val="C00000"/>
          <w:sz w:val="28"/>
          <w:szCs w:val="28"/>
        </w:rPr>
        <w:t xml:space="preserve"> CITTA’</w:t>
      </w:r>
    </w:p>
    <w:p w14:paraId="2BDB91EA" w14:textId="77777777" w:rsidR="00CF165D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(variazioni percentuali 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24 rispetto al II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23)</w:t>
      </w:r>
    </w:p>
    <w:p w14:paraId="250E922D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 xml:space="preserve">CAPANNONI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CF165D" w14:paraId="4B540DD8" w14:textId="77777777" w:rsidTr="00DA06BE">
        <w:trPr>
          <w:gridBefore w:val="1"/>
          <w:wBefore w:w="1940" w:type="dxa"/>
          <w:trHeight w:val="70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AB48" w14:textId="280E368B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Nuovo vicino alle arterie di comunicazione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A998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Nuovo lontano dalle arterie di comunicazione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C0E27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Usato vicino alle arterie di comunicazione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B128" w14:textId="1B806778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Usato lontano dalle arterie di comunicazione</w:t>
            </w:r>
          </w:p>
        </w:tc>
      </w:tr>
      <w:tr w:rsidR="00CF165D" w14:paraId="0F9B7E3B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E7CA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color w:val="FF0000"/>
                <w:highlight w:val="yellow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Prezzi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025CC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6CEDD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673AA4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AC044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673AA4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EAB3A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673AA4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  <w:tr w:rsidR="00CF165D" w14:paraId="51DF5606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4CB6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Canoni di locazione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9D38F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5EEF0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934D18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C4CCB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934D18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AFF41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934D18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</w:tbl>
    <w:p w14:paraId="7FF41638" w14:textId="77777777" w:rsidR="00CF165D" w:rsidRDefault="00CF165D" w:rsidP="00DA06BE">
      <w:pPr>
        <w:spacing w:after="0"/>
        <w:jc w:val="both"/>
        <w:rPr>
          <w:rFonts w:eastAsia="Calibri" w:cs="Times New Roman"/>
        </w:rPr>
      </w:pPr>
    </w:p>
    <w:p w14:paraId="52054DB7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 xml:space="preserve">LABORATORI </w:t>
      </w:r>
    </w:p>
    <w:tbl>
      <w:tblPr>
        <w:tblW w:w="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619"/>
      </w:tblGrid>
      <w:tr w:rsidR="00CF165D" w14:paraId="4810D9DB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4A8F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Prezzi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2B10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+1,2%</w:t>
            </w:r>
          </w:p>
        </w:tc>
      </w:tr>
      <w:tr w:rsidR="00CF165D" w14:paraId="7104FFE2" w14:textId="77777777" w:rsidTr="00B6592C">
        <w:trPr>
          <w:trHeight w:val="14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869E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Canoni di locazione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2FFE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</w:tr>
    </w:tbl>
    <w:p w14:paraId="67D96E6B" w14:textId="77777777" w:rsidR="00CF165D" w:rsidRDefault="00CF165D" w:rsidP="00DA06BE">
      <w:pPr>
        <w:spacing w:after="0"/>
        <w:rPr>
          <w:b/>
          <w:bCs/>
        </w:rPr>
      </w:pPr>
    </w:p>
    <w:p w14:paraId="65F64C8A" w14:textId="77777777" w:rsidR="00CF165D" w:rsidRDefault="00CF165D" w:rsidP="00DA06BE">
      <w:pPr>
        <w:spacing w:after="0"/>
      </w:pPr>
    </w:p>
    <w:p w14:paraId="34E328EB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>NEGOZI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CF165D" w:rsidRPr="007D0F7B" w14:paraId="3A556256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9099" w14:textId="77777777" w:rsidR="00CF165D" w:rsidRPr="007D0F7B" w:rsidRDefault="00CF165D" w:rsidP="00DA06BE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D2A" w14:textId="77777777" w:rsidR="00CF165D" w:rsidRPr="007D0F7B" w:rsidRDefault="00CF165D" w:rsidP="00DA06BE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D0F7B">
              <w:rPr>
                <w:rFonts w:ascii="Calibri" w:eastAsia="Times New Roman" w:hAnsi="Calibri" w:cs="Times New Roman"/>
                <w:b/>
                <w:bCs/>
                <w:lang w:eastAsia="it-IT"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24D8" w14:textId="77777777" w:rsidR="00CF165D" w:rsidRPr="007D0F7B" w:rsidRDefault="00CF165D" w:rsidP="00DA06BE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D0F7B">
              <w:rPr>
                <w:rFonts w:ascii="Calibri" w:eastAsia="Times New Roman" w:hAnsi="Calibri" w:cs="Times New Roman"/>
                <w:b/>
                <w:bCs/>
                <w:lang w:eastAsia="it-IT"/>
              </w:rPr>
              <w:t>Vie non di passaggio</w:t>
            </w:r>
          </w:p>
        </w:tc>
      </w:tr>
      <w:tr w:rsidR="00CF165D" w:rsidRPr="007D0F7B" w14:paraId="4B0F0AE2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5E6C" w14:textId="77777777" w:rsidR="00CF165D" w:rsidRPr="007D0F7B" w:rsidRDefault="00CF165D" w:rsidP="00DA06BE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D0F7B">
              <w:rPr>
                <w:rFonts w:ascii="Calibri" w:eastAsia="Times New Roman" w:hAnsi="Calibri" w:cs="Times New Roman"/>
                <w:b/>
                <w:bCs/>
                <w:lang w:eastAsia="it-IT"/>
              </w:rPr>
              <w:t>Prezzi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45A1" w14:textId="77777777" w:rsidR="00CF165D" w:rsidRPr="007D0F7B" w:rsidRDefault="00CF165D" w:rsidP="00DA06BE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-0,5%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F6A5" w14:textId="77777777" w:rsidR="00CF165D" w:rsidRPr="007D0F7B" w:rsidRDefault="00CF165D" w:rsidP="00DA06BE">
            <w:pPr>
              <w:spacing w:after="0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-0,8%</w:t>
            </w:r>
          </w:p>
        </w:tc>
      </w:tr>
      <w:tr w:rsidR="00CF165D" w:rsidRPr="007D0F7B" w14:paraId="7AE19FFF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C28" w14:textId="77777777" w:rsidR="00CF165D" w:rsidRPr="007D0F7B" w:rsidRDefault="00CF165D" w:rsidP="00DA06BE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D0F7B">
              <w:rPr>
                <w:rFonts w:ascii="Calibri" w:eastAsia="Times New Roman" w:hAnsi="Calibri" w:cs="Times New Roman"/>
                <w:b/>
                <w:bCs/>
                <w:lang w:eastAsia="it-IT"/>
              </w:rPr>
              <w:t>Canoni di locazione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C04" w14:textId="77777777" w:rsidR="00CF165D" w:rsidRPr="007D0F7B" w:rsidRDefault="00CF165D" w:rsidP="00DA06BE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+0,1%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FC37" w14:textId="77777777" w:rsidR="00CF165D" w:rsidRPr="007D0F7B" w:rsidRDefault="00CF165D" w:rsidP="00DA06BE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lang w:eastAsia="it-IT"/>
              </w:rPr>
              <w:t>+0,4%</w:t>
            </w:r>
          </w:p>
        </w:tc>
      </w:tr>
    </w:tbl>
    <w:p w14:paraId="3CC3E78F" w14:textId="77777777" w:rsidR="00CF165D" w:rsidRDefault="00CF165D" w:rsidP="00DA06BE">
      <w:pPr>
        <w:spacing w:after="0"/>
        <w:jc w:val="both"/>
      </w:pPr>
    </w:p>
    <w:p w14:paraId="138C4246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 xml:space="preserve">UFFICI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CF165D" w14:paraId="5A31B6B5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255D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12187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Nuovo in centri direzionali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E91F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Nuovo in palazzine residenziali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2320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Usato in centri direzionali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6CCC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Usato in palazzine residenziali</w:t>
            </w:r>
          </w:p>
        </w:tc>
      </w:tr>
      <w:tr w:rsidR="00CF165D" w14:paraId="6F58BD67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2D79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Prezzi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C4E21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E134B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6ECC8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66189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-0,7%</w:t>
            </w:r>
          </w:p>
        </w:tc>
      </w:tr>
      <w:tr w:rsidR="00CF165D" w14:paraId="64569C54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0331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Canoni di locazione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24280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DD7DC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EBE9C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62D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0%</w:t>
            </w:r>
          </w:p>
        </w:tc>
      </w:tr>
    </w:tbl>
    <w:p w14:paraId="64BC40CB" w14:textId="77777777" w:rsidR="00CF165D" w:rsidRPr="00373003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189DBE68" w14:textId="770A8D4D" w:rsidR="006D6DF9" w:rsidRPr="00CF165D" w:rsidRDefault="006D6DF9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7C9826F" w14:textId="77777777" w:rsidR="006D6DF9" w:rsidRPr="00CF165D" w:rsidRDefault="006D6DF9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696C81F" w14:textId="77777777" w:rsidR="00C26DAF" w:rsidRPr="00CF165D" w:rsidRDefault="00C26DAF" w:rsidP="00DA06B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019A44E" w14:textId="2AF0D75C" w:rsidR="00CF165D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  <w:proofErr w:type="gramStart"/>
      <w:r w:rsidRPr="00373003">
        <w:rPr>
          <w:b/>
          <w:bCs/>
          <w:color w:val="C00000"/>
          <w:sz w:val="28"/>
          <w:szCs w:val="28"/>
        </w:rPr>
        <w:t>TREND</w:t>
      </w:r>
      <w:proofErr w:type="gramEnd"/>
      <w:r w:rsidRPr="00373003">
        <w:rPr>
          <w:b/>
          <w:bCs/>
          <w:color w:val="C00000"/>
          <w:sz w:val="28"/>
          <w:szCs w:val="28"/>
        </w:rPr>
        <w:t xml:space="preserve"> PREZZI E LOCAZIONI IMMOBILI PER L’IMPRESA </w:t>
      </w:r>
      <w:r>
        <w:rPr>
          <w:b/>
          <w:bCs/>
          <w:color w:val="C00000"/>
          <w:sz w:val="28"/>
          <w:szCs w:val="28"/>
        </w:rPr>
        <w:t>-</w:t>
      </w:r>
      <w:r w:rsidRPr="00373003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ROMA</w:t>
      </w:r>
      <w:r w:rsidRPr="00373003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PROVINCIA</w:t>
      </w:r>
    </w:p>
    <w:p w14:paraId="02C1193C" w14:textId="77777777" w:rsidR="00CF165D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(variazioni percentuali 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24 rispetto al II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23)</w:t>
      </w:r>
    </w:p>
    <w:p w14:paraId="1DAB1086" w14:textId="77777777" w:rsidR="00CF165D" w:rsidRDefault="00CF165D" w:rsidP="00DA06BE">
      <w:pPr>
        <w:spacing w:after="0"/>
        <w:rPr>
          <w:b/>
          <w:bCs/>
          <w:color w:val="C00000"/>
        </w:rPr>
      </w:pPr>
    </w:p>
    <w:p w14:paraId="67585B8D" w14:textId="67F42E8F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 xml:space="preserve">CAPANNONI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CF165D" w14:paraId="4D01879E" w14:textId="77777777" w:rsidTr="00B6592C">
        <w:trPr>
          <w:gridBefore w:val="1"/>
          <w:wBefore w:w="1940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C434C" w14:textId="444F4511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Nuovo vicino alle arterie di comunicazione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939F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Nuovo lontano dalle arterie di comunicazione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32DF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Usato vicino alle arterie di comunicazione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755F" w14:textId="1B5303B0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Usato lontano dalle arterie di comunicazione</w:t>
            </w:r>
          </w:p>
        </w:tc>
      </w:tr>
      <w:tr w:rsidR="00CF165D" w14:paraId="5EB04F99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C8486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color w:val="FF0000"/>
                <w:highlight w:val="yellow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 xml:space="preserve">Prezzi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4F780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1,5%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7B5C7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1,7</w:t>
            </w:r>
            <w:r w:rsidRPr="009D00D4">
              <w:rPr>
                <w:rFonts w:eastAsia="Times New Roman" w:cs="Times New Roman"/>
                <w:bCs/>
                <w:lang w:eastAsia="it-IT"/>
              </w:rP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569B0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2,1</w:t>
            </w:r>
            <w:r w:rsidRPr="009D00D4">
              <w:rPr>
                <w:rFonts w:eastAsia="Times New Roman" w:cs="Times New Roman"/>
                <w:bCs/>
                <w:lang w:eastAsia="it-IT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448F9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2,8</w:t>
            </w:r>
            <w:r w:rsidRPr="009D00D4">
              <w:rPr>
                <w:rFonts w:eastAsia="Times New Roman" w:cs="Times New Roman"/>
                <w:bCs/>
                <w:lang w:eastAsia="it-IT"/>
              </w:rPr>
              <w:t>%</w:t>
            </w:r>
          </w:p>
        </w:tc>
      </w:tr>
      <w:tr w:rsidR="00CF165D" w14:paraId="3079CC1C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A83F0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Canoni di locazione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4627B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EFC9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9D00D4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5C977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9D00D4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E8CBC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9D00D4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</w:tbl>
    <w:p w14:paraId="4B981EC7" w14:textId="77777777" w:rsidR="00CF165D" w:rsidRDefault="00CF165D" w:rsidP="00DA06BE">
      <w:pPr>
        <w:spacing w:after="0"/>
        <w:rPr>
          <w:b/>
          <w:bCs/>
          <w:color w:val="C00000"/>
        </w:rPr>
      </w:pPr>
    </w:p>
    <w:p w14:paraId="5CEEDB00" w14:textId="77777777" w:rsidR="00DA06BE" w:rsidRDefault="00DA06BE" w:rsidP="00DA06BE">
      <w:pPr>
        <w:spacing w:after="0"/>
        <w:rPr>
          <w:b/>
          <w:bCs/>
          <w:color w:val="C00000"/>
        </w:rPr>
      </w:pPr>
    </w:p>
    <w:p w14:paraId="0F96A01F" w14:textId="77777777" w:rsidR="00DA06BE" w:rsidRPr="00CF165D" w:rsidRDefault="00DA06BE" w:rsidP="00DA06BE">
      <w:pPr>
        <w:spacing w:after="0"/>
        <w:rPr>
          <w:b/>
          <w:bCs/>
          <w:color w:val="C00000"/>
        </w:rPr>
      </w:pPr>
    </w:p>
    <w:p w14:paraId="25E184B9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lastRenderedPageBreak/>
        <w:t xml:space="preserve">LABORATORI </w:t>
      </w:r>
    </w:p>
    <w:tbl>
      <w:tblPr>
        <w:tblW w:w="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619"/>
      </w:tblGrid>
      <w:tr w:rsidR="00CF165D" w14:paraId="096991F9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6B2C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Prezzi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55924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  <w:tr w:rsidR="00CF165D" w:rsidRPr="00EE64E4" w14:paraId="19BD91EC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B368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Canoni di locazione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C6E3A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</w:tbl>
    <w:p w14:paraId="1893BF1D" w14:textId="77777777" w:rsidR="00CF165D" w:rsidRDefault="00CF165D" w:rsidP="00DA06BE">
      <w:pPr>
        <w:spacing w:after="0"/>
        <w:jc w:val="both"/>
      </w:pPr>
    </w:p>
    <w:p w14:paraId="77176DBC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>NEGOZI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CF165D" w14:paraId="6F9841C3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B9F6" w14:textId="77777777" w:rsidR="00CF165D" w:rsidRDefault="00CF165D" w:rsidP="00DA06BE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E52A" w14:textId="77777777" w:rsidR="00CF165D" w:rsidRDefault="00CF165D" w:rsidP="00DA06BE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4B15" w14:textId="77777777" w:rsidR="00CF165D" w:rsidRDefault="00CF165D" w:rsidP="00DA06BE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Vie non di passaggio</w:t>
            </w:r>
          </w:p>
        </w:tc>
      </w:tr>
      <w:tr w:rsidR="00CF165D" w14:paraId="47F36EAF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CD93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Prezzi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46F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-0,9%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FBC9C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+5,0%</w:t>
            </w:r>
          </w:p>
        </w:tc>
      </w:tr>
      <w:tr w:rsidR="00CF165D" w14:paraId="77584D4E" w14:textId="77777777" w:rsidTr="00B6592C">
        <w:trPr>
          <w:trHeight w:val="16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0A63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bCs/>
                <w:lang w:eastAsia="it-IT"/>
              </w:rPr>
              <w:t>Canoni di locazione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5780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93AD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</w:tbl>
    <w:p w14:paraId="119A9409" w14:textId="77777777" w:rsidR="00CF165D" w:rsidRDefault="00CF165D" w:rsidP="00DA06BE">
      <w:pPr>
        <w:spacing w:after="0"/>
        <w:jc w:val="both"/>
        <w:rPr>
          <w:b/>
          <w:bCs/>
        </w:rPr>
      </w:pPr>
    </w:p>
    <w:p w14:paraId="722DE9EB" w14:textId="77777777" w:rsidR="00CF165D" w:rsidRPr="00CF165D" w:rsidRDefault="00CF165D" w:rsidP="00DA06BE">
      <w:pPr>
        <w:spacing w:after="0"/>
        <w:rPr>
          <w:b/>
          <w:bCs/>
          <w:color w:val="C00000"/>
        </w:rPr>
      </w:pPr>
      <w:r w:rsidRPr="00CF165D">
        <w:rPr>
          <w:b/>
          <w:bCs/>
          <w:color w:val="C00000"/>
        </w:rPr>
        <w:t xml:space="preserve">UFFICI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CF165D" w14:paraId="4BA07D88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D59A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67141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Nuovo in centri direzionali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38B34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Nuovo in palazzine residenziali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1365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Usato in centri direzionali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EACD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Usato in palazzine residenziali</w:t>
            </w:r>
          </w:p>
        </w:tc>
      </w:tr>
      <w:tr w:rsidR="00CF165D" w14:paraId="2BEE551B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BA0C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Prezzi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A50EE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F6385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9D3D6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08F82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  <w:tr w:rsidR="00CF165D" w14:paraId="7DFBBFAF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AF6B" w14:textId="77777777" w:rsidR="00CF165D" w:rsidRDefault="00CF165D" w:rsidP="00DA06BE">
            <w:pPr>
              <w:spacing w:after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Canoni di locazione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811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9D91B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AADFD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179D6" w14:textId="77777777" w:rsidR="00CF165D" w:rsidRDefault="00CF165D" w:rsidP="00DA06BE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E373BE">
              <w:rPr>
                <w:rFonts w:eastAsia="Times New Roman" w:cs="Times New Roman"/>
                <w:bCs/>
                <w:lang w:eastAsia="it-IT"/>
              </w:rPr>
              <w:t>0%</w:t>
            </w:r>
          </w:p>
        </w:tc>
      </w:tr>
    </w:tbl>
    <w:p w14:paraId="3CB42E13" w14:textId="77777777" w:rsidR="00CF165D" w:rsidRDefault="00CF165D" w:rsidP="00DA06BE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6B2B6E0C" w14:textId="77777777" w:rsidR="00C26DAF" w:rsidRPr="00CF165D" w:rsidRDefault="00C26DAF" w:rsidP="00DA06BE">
      <w:pPr>
        <w:spacing w:after="0"/>
        <w:rPr>
          <w:rFonts w:ascii="Calibri" w:hAnsi="Calibri" w:cs="Calibri"/>
          <w:sz w:val="24"/>
          <w:szCs w:val="24"/>
        </w:rPr>
      </w:pPr>
    </w:p>
    <w:sectPr w:rsidR="00C26DAF" w:rsidRPr="00CF165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3174" w14:textId="77777777" w:rsidR="00CF165D" w:rsidRDefault="00CF165D" w:rsidP="00CF165D">
      <w:pPr>
        <w:spacing w:after="0" w:line="240" w:lineRule="auto"/>
      </w:pPr>
      <w:r>
        <w:separator/>
      </w:r>
    </w:p>
  </w:endnote>
  <w:endnote w:type="continuationSeparator" w:id="0">
    <w:p w14:paraId="66087C31" w14:textId="77777777" w:rsidR="00CF165D" w:rsidRDefault="00CF165D" w:rsidP="00C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EB64" w14:textId="2F597333" w:rsidR="00CF165D" w:rsidRPr="00CF165D" w:rsidRDefault="00CF165D" w:rsidP="00CF165D">
    <w:pPr>
      <w:pStyle w:val="Pidipagina"/>
      <w:jc w:val="right"/>
      <w:rPr>
        <w:b/>
        <w:bCs/>
        <w:i/>
        <w:iCs/>
      </w:rPr>
    </w:pPr>
    <w:r w:rsidRPr="00373003">
      <w:rPr>
        <w:b/>
        <w:bCs/>
        <w:i/>
        <w:iCs/>
      </w:rPr>
      <w:t>Fonte: Ufficio Studi Gruppo Tecnocasa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B71A" w14:textId="77777777" w:rsidR="00CF165D" w:rsidRDefault="00CF165D" w:rsidP="00CF165D">
      <w:pPr>
        <w:spacing w:after="0" w:line="240" w:lineRule="auto"/>
      </w:pPr>
      <w:r>
        <w:separator/>
      </w:r>
    </w:p>
  </w:footnote>
  <w:footnote w:type="continuationSeparator" w:id="0">
    <w:p w14:paraId="3906844D" w14:textId="77777777" w:rsidR="00CF165D" w:rsidRDefault="00CF165D" w:rsidP="00C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03DD" w14:textId="77777777" w:rsidR="00CF165D" w:rsidRPr="00165586" w:rsidRDefault="00CF165D" w:rsidP="00CF165D">
    <w:pPr>
      <w:pStyle w:val="Intestazione"/>
      <w:rPr>
        <w:b/>
        <w:bCs/>
        <w:color w:val="C00000"/>
        <w:sz w:val="24"/>
        <w:szCs w:val="24"/>
      </w:rPr>
    </w:pPr>
    <w:r>
      <w:rPr>
        <w:noProof/>
      </w:rPr>
      <w:drawing>
        <wp:inline distT="0" distB="0" distL="0" distR="0" wp14:anchorId="5BA329B9" wp14:editId="1D84828A">
          <wp:extent cx="1431290" cy="437515"/>
          <wp:effectExtent l="0" t="0" r="0" b="63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165586">
      <w:rPr>
        <w:b/>
        <w:bCs/>
        <w:color w:val="C00000"/>
        <w:sz w:val="24"/>
        <w:szCs w:val="24"/>
      </w:rPr>
      <w:t>CONFERENZA STAMPA IMMOBILI PER L’IMPRESA 04.12.24</w:t>
    </w:r>
  </w:p>
  <w:p w14:paraId="0C1A2FC5" w14:textId="77777777" w:rsidR="00CF165D" w:rsidRPr="00DA06BE" w:rsidRDefault="00CF165D">
    <w:pPr>
      <w:pStyle w:val="Intestazion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27"/>
    <w:rsid w:val="00090B27"/>
    <w:rsid w:val="00115ACD"/>
    <w:rsid w:val="001454C2"/>
    <w:rsid w:val="00146803"/>
    <w:rsid w:val="00170CD7"/>
    <w:rsid w:val="0018110E"/>
    <w:rsid w:val="001B36FA"/>
    <w:rsid w:val="001D65B9"/>
    <w:rsid w:val="00277A7D"/>
    <w:rsid w:val="002A0854"/>
    <w:rsid w:val="004356A0"/>
    <w:rsid w:val="004811F7"/>
    <w:rsid w:val="004A18ED"/>
    <w:rsid w:val="00540934"/>
    <w:rsid w:val="006432DC"/>
    <w:rsid w:val="006D1C12"/>
    <w:rsid w:val="006D6DF9"/>
    <w:rsid w:val="00793E82"/>
    <w:rsid w:val="007949A2"/>
    <w:rsid w:val="007A7C52"/>
    <w:rsid w:val="007C034F"/>
    <w:rsid w:val="008054BC"/>
    <w:rsid w:val="00861170"/>
    <w:rsid w:val="008F4225"/>
    <w:rsid w:val="009034AC"/>
    <w:rsid w:val="00903CFD"/>
    <w:rsid w:val="00A75592"/>
    <w:rsid w:val="00A75CFA"/>
    <w:rsid w:val="00AF334B"/>
    <w:rsid w:val="00B813A3"/>
    <w:rsid w:val="00BE1931"/>
    <w:rsid w:val="00C26DAF"/>
    <w:rsid w:val="00CF165D"/>
    <w:rsid w:val="00D551E2"/>
    <w:rsid w:val="00D757B9"/>
    <w:rsid w:val="00DA06BE"/>
    <w:rsid w:val="00DC6587"/>
    <w:rsid w:val="00E4213D"/>
    <w:rsid w:val="00F253BE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4BC"/>
  <w15:docId w15:val="{23B13966-24BA-444F-829A-BDC500AA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65D"/>
  </w:style>
  <w:style w:type="paragraph" w:styleId="Titolo1">
    <w:name w:val="heading 1"/>
    <w:basedOn w:val="Normale"/>
    <w:next w:val="Normale"/>
    <w:link w:val="Titolo1Carattere"/>
    <w:uiPriority w:val="9"/>
    <w:qFormat/>
    <w:rsid w:val="0009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0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0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0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0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0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0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0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0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0B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0B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0B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B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0B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0B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0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0B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0B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0B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0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0B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0B2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F16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65D"/>
  </w:style>
  <w:style w:type="paragraph" w:styleId="Pidipagina">
    <w:name w:val="footer"/>
    <w:basedOn w:val="Normale"/>
    <w:link w:val="PidipaginaCarattere"/>
    <w:uiPriority w:val="99"/>
    <w:unhideWhenUsed/>
    <w:rsid w:val="00CF16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Megliola</dc:creator>
  <cp:keywords/>
  <dc:description/>
  <cp:lastModifiedBy>Silvia Spadini</cp:lastModifiedBy>
  <cp:revision>6</cp:revision>
  <cp:lastPrinted>2024-12-03T15:58:00Z</cp:lastPrinted>
  <dcterms:created xsi:type="dcterms:W3CDTF">2024-11-15T16:33:00Z</dcterms:created>
  <dcterms:modified xsi:type="dcterms:W3CDTF">2024-12-03T15:58:00Z</dcterms:modified>
</cp:coreProperties>
</file>