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4CBAC" w14:textId="2756DFD4" w:rsidR="00796130" w:rsidRPr="00165586" w:rsidRDefault="00796130" w:rsidP="00796130">
      <w:pPr>
        <w:spacing w:after="0" w:line="240" w:lineRule="auto"/>
        <w:jc w:val="center"/>
        <w:rPr>
          <w:b/>
          <w:bCs/>
          <w:color w:val="C00000"/>
          <w:sz w:val="44"/>
          <w:szCs w:val="44"/>
        </w:rPr>
      </w:pPr>
      <w:r w:rsidRPr="00165586">
        <w:rPr>
          <w:b/>
          <w:bCs/>
          <w:color w:val="C00000"/>
          <w:sz w:val="44"/>
          <w:szCs w:val="44"/>
        </w:rPr>
        <w:t>NAPOLI</w:t>
      </w:r>
    </w:p>
    <w:p w14:paraId="65B6732D" w14:textId="77777777" w:rsidR="00796130" w:rsidRPr="00796130" w:rsidRDefault="00796130" w:rsidP="00796130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r w:rsidRPr="00796130">
        <w:rPr>
          <w:b/>
          <w:bCs/>
          <w:color w:val="C00000"/>
          <w:sz w:val="28"/>
          <w:szCs w:val="28"/>
        </w:rPr>
        <w:t>IL MERCATO DEGLI IMMOBILI AD USO COMMERCIALE E INDUSTRIALE</w:t>
      </w:r>
    </w:p>
    <w:p w14:paraId="42F1773E" w14:textId="77777777" w:rsidR="00796130" w:rsidRDefault="00796130" w:rsidP="00A652A7">
      <w:pPr>
        <w:spacing w:after="0" w:line="259" w:lineRule="auto"/>
        <w:jc w:val="both"/>
        <w:rPr>
          <w:sz w:val="24"/>
          <w:szCs w:val="24"/>
        </w:rPr>
      </w:pPr>
    </w:p>
    <w:p w14:paraId="1B8A6FA8" w14:textId="128A09C3" w:rsidR="00865ED3" w:rsidRPr="00373003" w:rsidRDefault="00796130" w:rsidP="00A652A7">
      <w:p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A670E7" w:rsidRPr="00373003">
        <w:rPr>
          <w:sz w:val="24"/>
          <w:szCs w:val="24"/>
        </w:rPr>
        <w:t xml:space="preserve">A Napoli il mercato degli </w:t>
      </w:r>
      <w:r w:rsidR="00A670E7" w:rsidRPr="008B4177">
        <w:rPr>
          <w:b/>
          <w:bCs/>
          <w:i/>
          <w:iCs/>
          <w:sz w:val="24"/>
          <w:szCs w:val="24"/>
        </w:rPr>
        <w:t>spazi commerciali</w:t>
      </w:r>
      <w:r w:rsidR="00A670E7" w:rsidRPr="003730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b/>
          <w:bCs/>
        </w:rPr>
        <w:t xml:space="preserve">afferma Domenico Marrazzo, Consulente Gruppo Tecnocasa - </w:t>
      </w:r>
      <w:r w:rsidR="00A670E7" w:rsidRPr="00373003">
        <w:rPr>
          <w:sz w:val="24"/>
          <w:szCs w:val="24"/>
        </w:rPr>
        <w:t xml:space="preserve">ha messo in evidenza un dinamismo dal lato delle compravendite che hanno visto protagonisti soprattutto gli investitori </w:t>
      </w:r>
      <w:r w:rsidR="00C82EC2" w:rsidRPr="00373003">
        <w:rPr>
          <w:sz w:val="24"/>
          <w:szCs w:val="24"/>
        </w:rPr>
        <w:t xml:space="preserve">che richiedono </w:t>
      </w:r>
      <w:r w:rsidR="00A670E7" w:rsidRPr="00373003">
        <w:rPr>
          <w:sz w:val="24"/>
          <w:szCs w:val="24"/>
        </w:rPr>
        <w:t xml:space="preserve">maggiormente negozi già locati che abbiano </w:t>
      </w:r>
      <w:r w:rsidR="00C82EC2" w:rsidRPr="00373003">
        <w:rPr>
          <w:sz w:val="24"/>
          <w:szCs w:val="24"/>
        </w:rPr>
        <w:t>un</w:t>
      </w:r>
      <w:r w:rsidR="00CB4D05" w:rsidRPr="00373003">
        <w:rPr>
          <w:sz w:val="24"/>
          <w:szCs w:val="24"/>
        </w:rPr>
        <w:t xml:space="preserve"> rendimento annuo lordo</w:t>
      </w:r>
      <w:r w:rsidR="00C82EC2" w:rsidRPr="00373003">
        <w:rPr>
          <w:sz w:val="24"/>
          <w:szCs w:val="24"/>
        </w:rPr>
        <w:t xml:space="preserve"> intorno al 10%</w:t>
      </w:r>
      <w:r w:rsidR="00CB4D05" w:rsidRPr="00373003">
        <w:rPr>
          <w:sz w:val="24"/>
          <w:szCs w:val="24"/>
        </w:rPr>
        <w:t>, accontentandosi</w:t>
      </w:r>
      <w:r w:rsidR="00C82EC2" w:rsidRPr="00373003">
        <w:rPr>
          <w:sz w:val="24"/>
          <w:szCs w:val="24"/>
        </w:rPr>
        <w:t xml:space="preserve"> </w:t>
      </w:r>
      <w:r w:rsidR="00801CC0" w:rsidRPr="00373003">
        <w:rPr>
          <w:sz w:val="24"/>
          <w:szCs w:val="24"/>
        </w:rPr>
        <w:t xml:space="preserve">però </w:t>
      </w:r>
      <w:r w:rsidR="00C82EC2" w:rsidRPr="00373003">
        <w:rPr>
          <w:sz w:val="24"/>
          <w:szCs w:val="24"/>
        </w:rPr>
        <w:t>di una percentuale pi</w:t>
      </w:r>
      <w:r w:rsidR="00CB4D05" w:rsidRPr="00373003">
        <w:rPr>
          <w:sz w:val="24"/>
          <w:szCs w:val="24"/>
        </w:rPr>
        <w:t xml:space="preserve">ù </w:t>
      </w:r>
      <w:r w:rsidR="00C82EC2" w:rsidRPr="00373003">
        <w:rPr>
          <w:sz w:val="24"/>
          <w:szCs w:val="24"/>
        </w:rPr>
        <w:t>bassa quando</w:t>
      </w:r>
      <w:r w:rsidR="00CB4D05" w:rsidRPr="00373003">
        <w:rPr>
          <w:sz w:val="24"/>
          <w:szCs w:val="24"/>
        </w:rPr>
        <w:t xml:space="preserve"> trovano</w:t>
      </w:r>
      <w:r w:rsidR="00C82EC2" w:rsidRPr="00373003">
        <w:rPr>
          <w:sz w:val="24"/>
          <w:szCs w:val="24"/>
        </w:rPr>
        <w:t xml:space="preserve"> </w:t>
      </w:r>
      <w:r w:rsidR="00A670E7" w:rsidRPr="00373003">
        <w:rPr>
          <w:sz w:val="24"/>
          <w:szCs w:val="24"/>
        </w:rPr>
        <w:t xml:space="preserve">negozi sulle vie più commerciali oppure </w:t>
      </w:r>
      <w:r w:rsidR="003F5DE8" w:rsidRPr="00373003">
        <w:rPr>
          <w:sz w:val="24"/>
          <w:szCs w:val="24"/>
        </w:rPr>
        <w:t xml:space="preserve">in presenza di </w:t>
      </w:r>
      <w:r w:rsidR="00C82EC2" w:rsidRPr="00373003">
        <w:rPr>
          <w:sz w:val="24"/>
          <w:szCs w:val="24"/>
        </w:rPr>
        <w:t>conduttori referenziati</w:t>
      </w:r>
      <w:r w:rsidR="00A670E7" w:rsidRPr="00373003">
        <w:rPr>
          <w:sz w:val="24"/>
          <w:szCs w:val="24"/>
        </w:rPr>
        <w:t xml:space="preserve">. </w:t>
      </w:r>
      <w:r w:rsidR="00CB4D05" w:rsidRPr="00373003">
        <w:rPr>
          <w:sz w:val="24"/>
          <w:szCs w:val="24"/>
        </w:rPr>
        <w:t xml:space="preserve"> </w:t>
      </w:r>
    </w:p>
    <w:p w14:paraId="28EA535A" w14:textId="7E12761B" w:rsidR="00C82EC2" w:rsidRPr="00373003" w:rsidRDefault="00C82EC2" w:rsidP="00A652A7">
      <w:pPr>
        <w:spacing w:after="0" w:line="259" w:lineRule="auto"/>
        <w:jc w:val="both"/>
        <w:rPr>
          <w:sz w:val="24"/>
          <w:szCs w:val="24"/>
        </w:rPr>
      </w:pPr>
      <w:r w:rsidRPr="00373003">
        <w:rPr>
          <w:sz w:val="24"/>
          <w:szCs w:val="24"/>
        </w:rPr>
        <w:t>Tale incremento come gi</w:t>
      </w:r>
      <w:r w:rsidR="00CB4D05" w:rsidRPr="00373003">
        <w:rPr>
          <w:sz w:val="24"/>
          <w:szCs w:val="24"/>
        </w:rPr>
        <w:t>à</w:t>
      </w:r>
      <w:r w:rsidRPr="00373003">
        <w:rPr>
          <w:sz w:val="24"/>
          <w:szCs w:val="24"/>
        </w:rPr>
        <w:t xml:space="preserve"> evidenziato negli anni </w:t>
      </w:r>
      <w:r w:rsidR="009E086D" w:rsidRPr="00373003">
        <w:rPr>
          <w:sz w:val="24"/>
          <w:szCs w:val="24"/>
        </w:rPr>
        <w:t xml:space="preserve">passati dalle reti del nostro Gruppo, </w:t>
      </w:r>
      <w:r w:rsidR="00CB4D05" w:rsidRPr="00373003">
        <w:rPr>
          <w:sz w:val="24"/>
          <w:szCs w:val="24"/>
        </w:rPr>
        <w:t>è</w:t>
      </w:r>
      <w:r w:rsidRPr="00373003">
        <w:rPr>
          <w:sz w:val="24"/>
          <w:szCs w:val="24"/>
        </w:rPr>
        <w:t xml:space="preserve"> da attribuire a</w:t>
      </w:r>
      <w:r w:rsidR="00CB4D05" w:rsidRPr="00373003">
        <w:rPr>
          <w:sz w:val="24"/>
          <w:szCs w:val="24"/>
        </w:rPr>
        <w:t>l consolidato</w:t>
      </w:r>
      <w:r w:rsidRPr="00373003">
        <w:rPr>
          <w:sz w:val="24"/>
          <w:szCs w:val="24"/>
        </w:rPr>
        <w:t xml:space="preserve"> boom turistico</w:t>
      </w:r>
      <w:r w:rsidR="00CB4D05" w:rsidRPr="00373003">
        <w:rPr>
          <w:sz w:val="24"/>
          <w:szCs w:val="24"/>
        </w:rPr>
        <w:t xml:space="preserve"> che interessa la città di Napoli da alcuni anni</w:t>
      </w:r>
      <w:r w:rsidR="00801CC0" w:rsidRPr="00373003">
        <w:rPr>
          <w:sz w:val="24"/>
          <w:szCs w:val="24"/>
        </w:rPr>
        <w:t>, la maggiore affluenza di turisti si registra ne</w:t>
      </w:r>
      <w:r w:rsidR="00E61C19" w:rsidRPr="00373003">
        <w:rPr>
          <w:sz w:val="24"/>
          <w:szCs w:val="24"/>
        </w:rPr>
        <w:t>l cento storico</w:t>
      </w:r>
      <w:r w:rsidR="0066075B" w:rsidRPr="00373003">
        <w:rPr>
          <w:sz w:val="24"/>
          <w:szCs w:val="24"/>
        </w:rPr>
        <w:t xml:space="preserve">: </w:t>
      </w:r>
      <w:r w:rsidR="00E61C19" w:rsidRPr="00373003">
        <w:rPr>
          <w:sz w:val="24"/>
          <w:szCs w:val="24"/>
        </w:rPr>
        <w:t xml:space="preserve">quartieri spagnoli e via </w:t>
      </w:r>
      <w:r w:rsidR="00D16DAB" w:rsidRPr="00373003">
        <w:rPr>
          <w:sz w:val="24"/>
          <w:szCs w:val="24"/>
        </w:rPr>
        <w:t>T</w:t>
      </w:r>
      <w:r w:rsidR="00E61C19" w:rsidRPr="00373003">
        <w:rPr>
          <w:sz w:val="24"/>
          <w:szCs w:val="24"/>
        </w:rPr>
        <w:t>oledo</w:t>
      </w:r>
      <w:r w:rsidR="0066075B" w:rsidRPr="00373003">
        <w:rPr>
          <w:sz w:val="24"/>
          <w:szCs w:val="24"/>
        </w:rPr>
        <w:t xml:space="preserve"> e sempre di più intorno alla stazione centrale</w:t>
      </w:r>
      <w:r w:rsidR="00CB4D05" w:rsidRPr="00373003">
        <w:rPr>
          <w:sz w:val="24"/>
          <w:szCs w:val="24"/>
        </w:rPr>
        <w:t xml:space="preserve"> </w:t>
      </w:r>
      <w:r w:rsidR="0066075B" w:rsidRPr="00373003">
        <w:rPr>
          <w:sz w:val="24"/>
          <w:szCs w:val="24"/>
        </w:rPr>
        <w:t>dove gli investitori mostrano un forte interesse</w:t>
      </w:r>
      <w:r w:rsidR="00801CC0" w:rsidRPr="00373003">
        <w:rPr>
          <w:sz w:val="24"/>
          <w:szCs w:val="24"/>
        </w:rPr>
        <w:t xml:space="preserve"> ; inoltre a tale incremento contribuisce in modo significativo il</w:t>
      </w:r>
      <w:r w:rsidR="00CB4D05" w:rsidRPr="00373003">
        <w:rPr>
          <w:sz w:val="24"/>
          <w:szCs w:val="24"/>
        </w:rPr>
        <w:t xml:space="preserve"> </w:t>
      </w:r>
      <w:r w:rsidRPr="00373003">
        <w:rPr>
          <w:sz w:val="24"/>
          <w:szCs w:val="24"/>
        </w:rPr>
        <w:t>potenziamento della linea metropolitana</w:t>
      </w:r>
      <w:r w:rsidR="0091149D" w:rsidRPr="00373003">
        <w:rPr>
          <w:sz w:val="24"/>
          <w:szCs w:val="24"/>
        </w:rPr>
        <w:t xml:space="preserve"> </w:t>
      </w:r>
      <w:r w:rsidR="002D6547" w:rsidRPr="00373003">
        <w:rPr>
          <w:sz w:val="24"/>
          <w:szCs w:val="24"/>
        </w:rPr>
        <w:t xml:space="preserve">che nel prossimo biennio vedrà </w:t>
      </w:r>
      <w:r w:rsidR="000B4ED2" w:rsidRPr="00373003">
        <w:rPr>
          <w:sz w:val="24"/>
          <w:szCs w:val="24"/>
        </w:rPr>
        <w:t xml:space="preserve">le aperture di </w:t>
      </w:r>
      <w:r w:rsidR="0026012E" w:rsidRPr="00373003">
        <w:rPr>
          <w:sz w:val="24"/>
          <w:szCs w:val="24"/>
        </w:rPr>
        <w:t xml:space="preserve">nuove </w:t>
      </w:r>
      <w:r w:rsidR="000B4ED2" w:rsidRPr="00373003">
        <w:rPr>
          <w:sz w:val="24"/>
          <w:szCs w:val="24"/>
        </w:rPr>
        <w:t xml:space="preserve">fermate e </w:t>
      </w:r>
      <w:r w:rsidR="0026012E" w:rsidRPr="00373003">
        <w:rPr>
          <w:sz w:val="24"/>
          <w:szCs w:val="24"/>
        </w:rPr>
        <w:t>l’ampliamento</w:t>
      </w:r>
      <w:r w:rsidR="000B4ED2" w:rsidRPr="00373003">
        <w:rPr>
          <w:sz w:val="24"/>
          <w:szCs w:val="24"/>
        </w:rPr>
        <w:t xml:space="preserve"> di nuove linee.</w:t>
      </w:r>
    </w:p>
    <w:p w14:paraId="408C7CEF" w14:textId="7E253993" w:rsidR="00C82EC2" w:rsidRPr="00373003" w:rsidRDefault="00C82EC2" w:rsidP="00A652A7">
      <w:pPr>
        <w:spacing w:after="0" w:line="259" w:lineRule="auto"/>
        <w:jc w:val="both"/>
        <w:rPr>
          <w:sz w:val="24"/>
          <w:szCs w:val="24"/>
        </w:rPr>
      </w:pPr>
      <w:r w:rsidRPr="00373003">
        <w:rPr>
          <w:sz w:val="24"/>
          <w:szCs w:val="24"/>
        </w:rPr>
        <w:t xml:space="preserve">Un fenomeno che merita attenzione </w:t>
      </w:r>
      <w:r w:rsidR="00CB4D05" w:rsidRPr="00373003">
        <w:rPr>
          <w:sz w:val="24"/>
          <w:szCs w:val="24"/>
        </w:rPr>
        <w:t>è la concentrazione dei negozi in base alla categoria merceologica in determinate strade</w:t>
      </w:r>
      <w:r w:rsidR="00801CC0" w:rsidRPr="00373003">
        <w:rPr>
          <w:sz w:val="24"/>
          <w:szCs w:val="24"/>
        </w:rPr>
        <w:t xml:space="preserve">, </w:t>
      </w:r>
      <w:r w:rsidR="00E61C19" w:rsidRPr="00373003">
        <w:rPr>
          <w:sz w:val="24"/>
          <w:szCs w:val="24"/>
        </w:rPr>
        <w:t>come ad esempio Corso Umberto dove le attività commerciali</w:t>
      </w:r>
      <w:r w:rsidR="00C561F6" w:rsidRPr="00373003">
        <w:rPr>
          <w:sz w:val="24"/>
          <w:szCs w:val="24"/>
        </w:rPr>
        <w:t xml:space="preserve"> </w:t>
      </w:r>
      <w:r w:rsidR="00E61C19" w:rsidRPr="00373003">
        <w:rPr>
          <w:sz w:val="24"/>
          <w:szCs w:val="24"/>
        </w:rPr>
        <w:t>sono per lo più del settore dell’abbigliamento</w:t>
      </w:r>
      <w:r w:rsidR="00C561F6" w:rsidRPr="00373003">
        <w:rPr>
          <w:sz w:val="24"/>
          <w:szCs w:val="24"/>
        </w:rPr>
        <w:t xml:space="preserve"> veloce ed economico,</w:t>
      </w:r>
      <w:r w:rsidR="00E61C19" w:rsidRPr="00373003">
        <w:rPr>
          <w:sz w:val="24"/>
          <w:szCs w:val="24"/>
        </w:rPr>
        <w:t xml:space="preserve"> zona Chiaia e Mergellina</w:t>
      </w:r>
      <w:r w:rsidR="00C561F6" w:rsidRPr="00373003">
        <w:rPr>
          <w:sz w:val="24"/>
          <w:szCs w:val="24"/>
        </w:rPr>
        <w:t xml:space="preserve"> </w:t>
      </w:r>
      <w:r w:rsidR="00E61C19" w:rsidRPr="00373003">
        <w:rPr>
          <w:sz w:val="24"/>
          <w:szCs w:val="24"/>
        </w:rPr>
        <w:t>attività di</w:t>
      </w:r>
      <w:r w:rsidR="00E942AE" w:rsidRPr="00373003">
        <w:rPr>
          <w:sz w:val="24"/>
          <w:szCs w:val="24"/>
        </w:rPr>
        <w:t xml:space="preserve"> ristorazione</w:t>
      </w:r>
      <w:r w:rsidR="005633AD" w:rsidRPr="00373003">
        <w:rPr>
          <w:sz w:val="24"/>
          <w:szCs w:val="24"/>
        </w:rPr>
        <w:t xml:space="preserve"> e somministrazione,</w:t>
      </w:r>
      <w:r w:rsidR="00C561F6" w:rsidRPr="00373003">
        <w:rPr>
          <w:sz w:val="24"/>
          <w:szCs w:val="24"/>
        </w:rPr>
        <w:t xml:space="preserve"> via </w:t>
      </w:r>
      <w:r w:rsidR="003F5DE8" w:rsidRPr="00373003">
        <w:rPr>
          <w:sz w:val="24"/>
          <w:szCs w:val="24"/>
        </w:rPr>
        <w:t>S</w:t>
      </w:r>
      <w:r w:rsidR="00C561F6" w:rsidRPr="00373003">
        <w:rPr>
          <w:sz w:val="24"/>
          <w:szCs w:val="24"/>
        </w:rPr>
        <w:t xml:space="preserve">carlatti e via </w:t>
      </w:r>
      <w:r w:rsidR="008B4177">
        <w:rPr>
          <w:sz w:val="24"/>
          <w:szCs w:val="24"/>
        </w:rPr>
        <w:t>L</w:t>
      </w:r>
      <w:r w:rsidR="00C561F6" w:rsidRPr="00373003">
        <w:rPr>
          <w:sz w:val="24"/>
          <w:szCs w:val="24"/>
        </w:rPr>
        <w:t xml:space="preserve">uca </w:t>
      </w:r>
      <w:r w:rsidR="003F5DE8" w:rsidRPr="00373003">
        <w:rPr>
          <w:sz w:val="24"/>
          <w:szCs w:val="24"/>
        </w:rPr>
        <w:t>G</w:t>
      </w:r>
      <w:r w:rsidR="00C561F6" w:rsidRPr="00373003">
        <w:rPr>
          <w:sz w:val="24"/>
          <w:szCs w:val="24"/>
        </w:rPr>
        <w:t xml:space="preserve">iordano invece con boutique di alta moda, ed infine via dei </w:t>
      </w:r>
      <w:r w:rsidR="003F5DE8" w:rsidRPr="00373003">
        <w:rPr>
          <w:sz w:val="24"/>
          <w:szCs w:val="24"/>
        </w:rPr>
        <w:t>M</w:t>
      </w:r>
      <w:r w:rsidR="00C561F6" w:rsidRPr="00373003">
        <w:rPr>
          <w:sz w:val="24"/>
          <w:szCs w:val="24"/>
        </w:rPr>
        <w:t xml:space="preserve">ille, via </w:t>
      </w:r>
      <w:r w:rsidR="003F5DE8" w:rsidRPr="00373003">
        <w:rPr>
          <w:sz w:val="24"/>
          <w:szCs w:val="24"/>
        </w:rPr>
        <w:t>F</w:t>
      </w:r>
      <w:r w:rsidR="00C561F6" w:rsidRPr="00373003">
        <w:rPr>
          <w:sz w:val="24"/>
          <w:szCs w:val="24"/>
        </w:rPr>
        <w:t xml:space="preserve">ilangieri e via </w:t>
      </w:r>
      <w:r w:rsidR="003F5DE8" w:rsidRPr="00373003">
        <w:rPr>
          <w:sz w:val="24"/>
          <w:szCs w:val="24"/>
        </w:rPr>
        <w:t>C</w:t>
      </w:r>
      <w:r w:rsidR="00C561F6" w:rsidRPr="00373003">
        <w:rPr>
          <w:sz w:val="24"/>
          <w:szCs w:val="24"/>
        </w:rPr>
        <w:t>alabritto dove t</w:t>
      </w:r>
      <w:r w:rsidR="003F5DE8" w:rsidRPr="00373003">
        <w:rPr>
          <w:sz w:val="24"/>
          <w:szCs w:val="24"/>
        </w:rPr>
        <w:t>r</w:t>
      </w:r>
      <w:r w:rsidR="00C561F6" w:rsidRPr="00373003">
        <w:rPr>
          <w:sz w:val="24"/>
          <w:szCs w:val="24"/>
        </w:rPr>
        <w:t xml:space="preserve">oviamo store delle grandi firme. </w:t>
      </w:r>
      <w:proofErr w:type="gramStart"/>
      <w:r w:rsidR="002A433C" w:rsidRPr="00373003">
        <w:rPr>
          <w:sz w:val="24"/>
          <w:szCs w:val="24"/>
        </w:rPr>
        <w:t>E</w:t>
      </w:r>
      <w:r w:rsidR="008B4177">
        <w:rPr>
          <w:sz w:val="24"/>
          <w:szCs w:val="24"/>
        </w:rPr>
        <w:t>’</w:t>
      </w:r>
      <w:proofErr w:type="gramEnd"/>
      <w:r w:rsidR="002A433C" w:rsidRPr="00373003">
        <w:rPr>
          <w:sz w:val="24"/>
          <w:szCs w:val="24"/>
        </w:rPr>
        <w:t xml:space="preserve"> da evidenziare che q</w:t>
      </w:r>
      <w:r w:rsidR="00C561F6" w:rsidRPr="00373003">
        <w:rPr>
          <w:sz w:val="24"/>
          <w:szCs w:val="24"/>
        </w:rPr>
        <w:t xml:space="preserve">uesto </w:t>
      </w:r>
      <w:r w:rsidR="005633AD" w:rsidRPr="00373003">
        <w:rPr>
          <w:sz w:val="24"/>
          <w:szCs w:val="24"/>
        </w:rPr>
        <w:t>stesso fenomeno si registra anche nella provincia a ridosso della città</w:t>
      </w:r>
      <w:r w:rsidR="0002432B" w:rsidRPr="00373003">
        <w:rPr>
          <w:sz w:val="24"/>
          <w:szCs w:val="24"/>
        </w:rPr>
        <w:t xml:space="preserve"> </w:t>
      </w:r>
      <w:r w:rsidR="005633AD" w:rsidRPr="00373003">
        <w:rPr>
          <w:sz w:val="24"/>
          <w:szCs w:val="24"/>
        </w:rPr>
        <w:t xml:space="preserve">e più precisamente </w:t>
      </w:r>
      <w:r w:rsidR="0002432B" w:rsidRPr="00373003">
        <w:rPr>
          <w:sz w:val="24"/>
          <w:szCs w:val="24"/>
        </w:rPr>
        <w:t>a</w:t>
      </w:r>
      <w:r w:rsidR="005633AD" w:rsidRPr="00373003">
        <w:rPr>
          <w:sz w:val="24"/>
          <w:szCs w:val="24"/>
        </w:rPr>
        <w:t xml:space="preserve"> Portici e San Giorgio A </w:t>
      </w:r>
      <w:r w:rsidR="002A433C" w:rsidRPr="00373003">
        <w:rPr>
          <w:sz w:val="24"/>
          <w:szCs w:val="24"/>
        </w:rPr>
        <w:t>C</w:t>
      </w:r>
      <w:r w:rsidR="005633AD" w:rsidRPr="00373003">
        <w:rPr>
          <w:sz w:val="24"/>
          <w:szCs w:val="24"/>
        </w:rPr>
        <w:t>remano</w:t>
      </w:r>
      <w:r w:rsidR="008B4177">
        <w:rPr>
          <w:sz w:val="24"/>
          <w:szCs w:val="24"/>
        </w:rPr>
        <w:t>.</w:t>
      </w:r>
      <w:r w:rsidR="00E942AE" w:rsidRPr="00373003">
        <w:rPr>
          <w:sz w:val="24"/>
          <w:szCs w:val="24"/>
        </w:rPr>
        <w:t xml:space="preserve"> </w:t>
      </w:r>
    </w:p>
    <w:p w14:paraId="1EE26F76" w14:textId="751EB915" w:rsidR="008674A4" w:rsidRPr="00373003" w:rsidRDefault="008674A4" w:rsidP="00A652A7">
      <w:pPr>
        <w:spacing w:after="0" w:line="259" w:lineRule="auto"/>
        <w:jc w:val="both"/>
        <w:rPr>
          <w:sz w:val="24"/>
          <w:szCs w:val="24"/>
        </w:rPr>
      </w:pPr>
      <w:r w:rsidRPr="00373003">
        <w:rPr>
          <w:sz w:val="24"/>
          <w:szCs w:val="24"/>
        </w:rPr>
        <w:t xml:space="preserve">Un altro fenomeno che </w:t>
      </w:r>
      <w:r w:rsidR="009E086D" w:rsidRPr="00373003">
        <w:rPr>
          <w:sz w:val="24"/>
          <w:szCs w:val="24"/>
        </w:rPr>
        <w:t>le agenzie affiliate Tecnocasa e Tecnorete hanno notato</w:t>
      </w:r>
      <w:r w:rsidRPr="00373003">
        <w:rPr>
          <w:sz w:val="24"/>
          <w:szCs w:val="24"/>
        </w:rPr>
        <w:t xml:space="preserve"> ormai da diversi anni è il forte turn over, le attività commerciali hanno ormai una durat</w:t>
      </w:r>
      <w:r w:rsidR="000D6002" w:rsidRPr="00373003">
        <w:rPr>
          <w:sz w:val="24"/>
          <w:szCs w:val="24"/>
        </w:rPr>
        <w:t>a</w:t>
      </w:r>
      <w:r w:rsidRPr="00373003">
        <w:rPr>
          <w:sz w:val="24"/>
          <w:szCs w:val="24"/>
        </w:rPr>
        <w:t xml:space="preserve"> temporale sempre più breve e </w:t>
      </w:r>
      <w:r w:rsidR="000D6002" w:rsidRPr="00373003">
        <w:rPr>
          <w:sz w:val="24"/>
          <w:szCs w:val="24"/>
        </w:rPr>
        <w:t xml:space="preserve">quelle </w:t>
      </w:r>
      <w:r w:rsidRPr="00373003">
        <w:rPr>
          <w:sz w:val="24"/>
          <w:szCs w:val="24"/>
        </w:rPr>
        <w:t>storiche ormai diminuiscono notevolmente. Il motivo di questo veloce ricambio non è legato a difficoltà economiche ma semplicemente all’esistenza di determinate “</w:t>
      </w:r>
      <w:r w:rsidR="008B4177">
        <w:rPr>
          <w:sz w:val="24"/>
          <w:szCs w:val="24"/>
        </w:rPr>
        <w:t>m</w:t>
      </w:r>
      <w:r w:rsidRPr="00373003">
        <w:rPr>
          <w:sz w:val="24"/>
          <w:szCs w:val="24"/>
        </w:rPr>
        <w:t>ode”</w:t>
      </w:r>
      <w:r w:rsidR="0091149D" w:rsidRPr="00373003">
        <w:rPr>
          <w:sz w:val="24"/>
          <w:szCs w:val="24"/>
        </w:rPr>
        <w:t xml:space="preserve"> </w:t>
      </w:r>
      <w:r w:rsidR="00D16DAB" w:rsidRPr="00373003">
        <w:rPr>
          <w:sz w:val="24"/>
          <w:szCs w:val="24"/>
        </w:rPr>
        <w:t>negli anni abbiamo assistito ad aperture di svapo,</w:t>
      </w:r>
      <w:r w:rsidR="0026012E" w:rsidRPr="00373003">
        <w:rPr>
          <w:sz w:val="24"/>
          <w:szCs w:val="24"/>
        </w:rPr>
        <w:t xml:space="preserve"> chips,</w:t>
      </w:r>
      <w:r w:rsidR="00D16DAB" w:rsidRPr="00373003">
        <w:rPr>
          <w:sz w:val="24"/>
          <w:szCs w:val="24"/>
        </w:rPr>
        <w:t xml:space="preserve"> </w:t>
      </w:r>
      <w:r w:rsidR="00ED4A3C" w:rsidRPr="00373003">
        <w:rPr>
          <w:sz w:val="24"/>
          <w:szCs w:val="24"/>
        </w:rPr>
        <w:t>lavanderie a gettoni</w:t>
      </w:r>
      <w:r w:rsidR="0026012E" w:rsidRPr="00373003">
        <w:rPr>
          <w:sz w:val="24"/>
          <w:szCs w:val="24"/>
        </w:rPr>
        <w:t xml:space="preserve">, </w:t>
      </w:r>
      <w:r w:rsidR="005633AD" w:rsidRPr="00373003">
        <w:rPr>
          <w:sz w:val="24"/>
          <w:szCs w:val="24"/>
        </w:rPr>
        <w:t xml:space="preserve">pet shop </w:t>
      </w:r>
      <w:r w:rsidR="00D16DAB" w:rsidRPr="00373003">
        <w:rPr>
          <w:sz w:val="24"/>
          <w:szCs w:val="24"/>
        </w:rPr>
        <w:t xml:space="preserve">e </w:t>
      </w:r>
      <w:r w:rsidR="0091149D" w:rsidRPr="00373003">
        <w:rPr>
          <w:sz w:val="24"/>
          <w:szCs w:val="24"/>
        </w:rPr>
        <w:t>deposito bagaglio</w:t>
      </w:r>
      <w:r w:rsidRPr="00373003">
        <w:rPr>
          <w:sz w:val="24"/>
          <w:szCs w:val="24"/>
        </w:rPr>
        <w:t>. Lato mercato immobiliare questo si traduce in un maggiore dinamismo</w:t>
      </w:r>
      <w:r w:rsidR="005633AD" w:rsidRPr="00373003">
        <w:rPr>
          <w:sz w:val="24"/>
          <w:szCs w:val="24"/>
        </w:rPr>
        <w:t xml:space="preserve">, </w:t>
      </w:r>
      <w:r w:rsidR="000D6002" w:rsidRPr="00373003">
        <w:rPr>
          <w:sz w:val="24"/>
          <w:szCs w:val="24"/>
        </w:rPr>
        <w:t>s</w:t>
      </w:r>
      <w:r w:rsidR="00801CC0" w:rsidRPr="00373003">
        <w:rPr>
          <w:sz w:val="24"/>
          <w:szCs w:val="24"/>
        </w:rPr>
        <w:t>pesso</w:t>
      </w:r>
      <w:r w:rsidRPr="00373003">
        <w:rPr>
          <w:sz w:val="24"/>
          <w:szCs w:val="24"/>
        </w:rPr>
        <w:t xml:space="preserve"> a canoni di locazione più contenuti</w:t>
      </w:r>
      <w:r w:rsidR="000D6002" w:rsidRPr="00373003">
        <w:rPr>
          <w:sz w:val="24"/>
          <w:szCs w:val="24"/>
        </w:rPr>
        <w:t>. Questi ultimi infatti sono diminuiti perché i proprietari puntano alla continuità del pagamento dei canoni di locazione</w:t>
      </w:r>
      <w:r w:rsidR="008B4177">
        <w:rPr>
          <w:sz w:val="24"/>
          <w:szCs w:val="24"/>
        </w:rPr>
        <w:t>.</w:t>
      </w:r>
      <w:r w:rsidR="00E942AE" w:rsidRPr="00373003">
        <w:rPr>
          <w:sz w:val="24"/>
          <w:szCs w:val="24"/>
        </w:rPr>
        <w:t xml:space="preserve"> </w:t>
      </w:r>
    </w:p>
    <w:p w14:paraId="20D4F351" w14:textId="3FE128F8" w:rsidR="0068220F" w:rsidRPr="00373003" w:rsidRDefault="008B4177" w:rsidP="00A652A7">
      <w:p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quanto riguarda</w:t>
      </w:r>
      <w:r w:rsidR="00C561F6" w:rsidRPr="00373003">
        <w:rPr>
          <w:sz w:val="24"/>
          <w:szCs w:val="24"/>
        </w:rPr>
        <w:t xml:space="preserve">  </w:t>
      </w:r>
      <w:r w:rsidR="006A0E6F" w:rsidRPr="00373003">
        <w:rPr>
          <w:sz w:val="24"/>
          <w:szCs w:val="24"/>
        </w:rPr>
        <w:t>il mercato d</w:t>
      </w:r>
      <w:r w:rsidR="00C561F6" w:rsidRPr="00373003">
        <w:rPr>
          <w:sz w:val="24"/>
          <w:szCs w:val="24"/>
        </w:rPr>
        <w:t>elle</w:t>
      </w:r>
      <w:r w:rsidR="006A0E6F" w:rsidRPr="00373003">
        <w:rPr>
          <w:sz w:val="24"/>
          <w:szCs w:val="24"/>
        </w:rPr>
        <w:t xml:space="preserve"> grandi strutture</w:t>
      </w:r>
      <w:r w:rsidR="00C561F6" w:rsidRPr="00373003">
        <w:rPr>
          <w:sz w:val="24"/>
          <w:szCs w:val="24"/>
        </w:rPr>
        <w:t xml:space="preserve"> e cioè </w:t>
      </w:r>
      <w:r w:rsidR="006A0E6F" w:rsidRPr="00373003">
        <w:rPr>
          <w:sz w:val="24"/>
          <w:szCs w:val="24"/>
        </w:rPr>
        <w:t xml:space="preserve"> </w:t>
      </w:r>
      <w:r w:rsidR="006A0E6F" w:rsidRPr="008B4177">
        <w:rPr>
          <w:b/>
          <w:bCs/>
          <w:i/>
          <w:iCs/>
          <w:sz w:val="24"/>
          <w:szCs w:val="24"/>
        </w:rPr>
        <w:t>capannoni industriali</w:t>
      </w:r>
      <w:r w:rsidR="00C561F6" w:rsidRPr="00373003">
        <w:rPr>
          <w:sz w:val="24"/>
          <w:szCs w:val="24"/>
        </w:rPr>
        <w:t xml:space="preserve"> ;</w:t>
      </w:r>
      <w:r w:rsidR="006A0E6F" w:rsidRPr="00373003">
        <w:rPr>
          <w:sz w:val="24"/>
          <w:szCs w:val="24"/>
        </w:rPr>
        <w:t xml:space="preserve"> la citt</w:t>
      </w:r>
      <w:r w:rsidR="008674A4" w:rsidRPr="00373003">
        <w:rPr>
          <w:sz w:val="24"/>
          <w:szCs w:val="24"/>
        </w:rPr>
        <w:t>à</w:t>
      </w:r>
      <w:r w:rsidR="006A0E6F" w:rsidRPr="00373003">
        <w:rPr>
          <w:sz w:val="24"/>
          <w:szCs w:val="24"/>
        </w:rPr>
        <w:t xml:space="preserve"> di </w:t>
      </w:r>
      <w:r w:rsidR="008674A4" w:rsidRPr="00373003">
        <w:rPr>
          <w:sz w:val="24"/>
          <w:szCs w:val="24"/>
        </w:rPr>
        <w:t>N</w:t>
      </w:r>
      <w:r w:rsidR="006A0E6F" w:rsidRPr="00373003">
        <w:rPr>
          <w:sz w:val="24"/>
          <w:szCs w:val="24"/>
        </w:rPr>
        <w:t xml:space="preserve">apoli </w:t>
      </w:r>
      <w:r w:rsidR="008674A4" w:rsidRPr="00373003">
        <w:rPr>
          <w:sz w:val="24"/>
          <w:szCs w:val="24"/>
        </w:rPr>
        <w:t>presenta una bassa offerta per carenza di spazi</w:t>
      </w:r>
      <w:r w:rsidR="006A0E6F" w:rsidRPr="00373003">
        <w:rPr>
          <w:sz w:val="24"/>
          <w:szCs w:val="24"/>
        </w:rPr>
        <w:t>,</w:t>
      </w:r>
      <w:r w:rsidR="00ED4A3C" w:rsidRPr="00373003">
        <w:rPr>
          <w:sz w:val="24"/>
          <w:szCs w:val="24"/>
        </w:rPr>
        <w:t xml:space="preserve"> pochissime offerte sulla zona di Agnano, Fuorigrotta e Periferia Est</w:t>
      </w:r>
      <w:r w:rsidR="006A0E6F" w:rsidRPr="00373003">
        <w:rPr>
          <w:sz w:val="24"/>
          <w:szCs w:val="24"/>
        </w:rPr>
        <w:t xml:space="preserve"> mentre nella provincia</w:t>
      </w:r>
      <w:r w:rsidR="000D6002" w:rsidRPr="00373003">
        <w:rPr>
          <w:sz w:val="24"/>
          <w:szCs w:val="24"/>
        </w:rPr>
        <w:t xml:space="preserve"> nord orientale</w:t>
      </w:r>
      <w:r w:rsidR="006A0E6F" w:rsidRPr="00373003">
        <w:rPr>
          <w:sz w:val="24"/>
          <w:szCs w:val="24"/>
        </w:rPr>
        <w:t xml:space="preserve"> si registra un interessante dinamismo</w:t>
      </w:r>
      <w:r w:rsidR="008674A4" w:rsidRPr="00373003">
        <w:rPr>
          <w:sz w:val="24"/>
          <w:szCs w:val="24"/>
        </w:rPr>
        <w:t xml:space="preserve"> </w:t>
      </w:r>
      <w:r w:rsidR="005633AD" w:rsidRPr="00373003">
        <w:rPr>
          <w:sz w:val="24"/>
          <w:szCs w:val="24"/>
        </w:rPr>
        <w:t xml:space="preserve">poiché e molto più facile trovare </w:t>
      </w:r>
      <w:r w:rsidR="006A0E6F" w:rsidRPr="00373003">
        <w:rPr>
          <w:sz w:val="24"/>
          <w:szCs w:val="24"/>
        </w:rPr>
        <w:t>spazi e strutture</w:t>
      </w:r>
      <w:r w:rsidR="0068220F" w:rsidRPr="00373003">
        <w:rPr>
          <w:sz w:val="24"/>
          <w:szCs w:val="24"/>
        </w:rPr>
        <w:t xml:space="preserve"> pi</w:t>
      </w:r>
      <w:r w:rsidR="008674A4" w:rsidRPr="00373003">
        <w:rPr>
          <w:sz w:val="24"/>
          <w:szCs w:val="24"/>
        </w:rPr>
        <w:t>ù</w:t>
      </w:r>
      <w:r w:rsidR="0068220F" w:rsidRPr="00373003">
        <w:rPr>
          <w:sz w:val="24"/>
          <w:szCs w:val="24"/>
        </w:rPr>
        <w:t xml:space="preserve"> ampi</w:t>
      </w:r>
      <w:r w:rsidR="005633AD" w:rsidRPr="00373003">
        <w:rPr>
          <w:sz w:val="24"/>
          <w:szCs w:val="24"/>
        </w:rPr>
        <w:t xml:space="preserve"> </w:t>
      </w:r>
      <w:r w:rsidR="008674A4" w:rsidRPr="00373003">
        <w:rPr>
          <w:sz w:val="24"/>
          <w:szCs w:val="24"/>
        </w:rPr>
        <w:t xml:space="preserve">che </w:t>
      </w:r>
      <w:r w:rsidR="0068220F" w:rsidRPr="00373003">
        <w:rPr>
          <w:sz w:val="24"/>
          <w:szCs w:val="24"/>
        </w:rPr>
        <w:t>attira</w:t>
      </w:r>
      <w:r w:rsidR="008674A4" w:rsidRPr="00373003">
        <w:rPr>
          <w:sz w:val="24"/>
          <w:szCs w:val="24"/>
        </w:rPr>
        <w:t>no</w:t>
      </w:r>
      <w:r w:rsidR="0068220F" w:rsidRPr="00373003">
        <w:rPr>
          <w:sz w:val="24"/>
          <w:szCs w:val="24"/>
        </w:rPr>
        <w:t xml:space="preserve"> anche aziende della grande distribuzione </w:t>
      </w:r>
      <w:r w:rsidR="00223AE6" w:rsidRPr="00373003">
        <w:rPr>
          <w:sz w:val="24"/>
          <w:szCs w:val="24"/>
        </w:rPr>
        <w:t>a condizione che tali strutture siano</w:t>
      </w:r>
      <w:r w:rsidR="005633AD" w:rsidRPr="00373003">
        <w:rPr>
          <w:sz w:val="24"/>
          <w:szCs w:val="24"/>
        </w:rPr>
        <w:t xml:space="preserve"> situat</w:t>
      </w:r>
      <w:r w:rsidR="00223AE6" w:rsidRPr="00373003">
        <w:rPr>
          <w:sz w:val="24"/>
          <w:szCs w:val="24"/>
        </w:rPr>
        <w:t>e</w:t>
      </w:r>
      <w:r w:rsidR="005633AD" w:rsidRPr="00373003">
        <w:rPr>
          <w:sz w:val="24"/>
          <w:szCs w:val="24"/>
        </w:rPr>
        <w:t xml:space="preserve"> nei </w:t>
      </w:r>
      <w:r w:rsidR="0068220F" w:rsidRPr="00373003">
        <w:rPr>
          <w:sz w:val="24"/>
          <w:szCs w:val="24"/>
        </w:rPr>
        <w:t xml:space="preserve"> </w:t>
      </w:r>
      <w:r w:rsidR="008674A4" w:rsidRPr="00373003">
        <w:rPr>
          <w:sz w:val="24"/>
          <w:szCs w:val="24"/>
        </w:rPr>
        <w:t>press</w:t>
      </w:r>
      <w:r w:rsidR="00223AE6" w:rsidRPr="00373003">
        <w:rPr>
          <w:sz w:val="24"/>
          <w:szCs w:val="24"/>
        </w:rPr>
        <w:t>i</w:t>
      </w:r>
      <w:r w:rsidR="0068220F" w:rsidRPr="00373003">
        <w:rPr>
          <w:sz w:val="24"/>
          <w:szCs w:val="24"/>
        </w:rPr>
        <w:t xml:space="preserve"> autostrade e</w:t>
      </w:r>
      <w:r w:rsidR="008674A4" w:rsidRPr="00373003">
        <w:rPr>
          <w:sz w:val="24"/>
          <w:szCs w:val="24"/>
        </w:rPr>
        <w:t xml:space="preserve"> reti </w:t>
      </w:r>
      <w:r w:rsidR="0068220F" w:rsidRPr="00373003">
        <w:rPr>
          <w:sz w:val="24"/>
          <w:szCs w:val="24"/>
        </w:rPr>
        <w:t>ferrovia</w:t>
      </w:r>
      <w:r w:rsidR="008674A4" w:rsidRPr="00373003">
        <w:rPr>
          <w:sz w:val="24"/>
          <w:szCs w:val="24"/>
        </w:rPr>
        <w:t>rie</w:t>
      </w:r>
      <w:r w:rsidR="00E942AE" w:rsidRPr="00373003">
        <w:rPr>
          <w:sz w:val="24"/>
          <w:szCs w:val="24"/>
        </w:rPr>
        <w:t xml:space="preserve"> </w:t>
      </w:r>
      <w:r w:rsidR="00D16DAB" w:rsidRPr="00373003">
        <w:rPr>
          <w:sz w:val="24"/>
          <w:szCs w:val="24"/>
        </w:rPr>
        <w:t xml:space="preserve">come </w:t>
      </w:r>
      <w:r w:rsidR="005633AD" w:rsidRPr="00373003">
        <w:rPr>
          <w:sz w:val="24"/>
          <w:szCs w:val="24"/>
        </w:rPr>
        <w:t xml:space="preserve">ad esempio </w:t>
      </w:r>
      <w:r w:rsidR="00D16DAB" w:rsidRPr="00373003">
        <w:rPr>
          <w:sz w:val="24"/>
          <w:szCs w:val="24"/>
        </w:rPr>
        <w:t xml:space="preserve">il polo industriale </w:t>
      </w:r>
      <w:r w:rsidR="00801CC0" w:rsidRPr="00373003">
        <w:rPr>
          <w:sz w:val="24"/>
          <w:szCs w:val="24"/>
        </w:rPr>
        <w:t>di</w:t>
      </w:r>
      <w:r w:rsidR="00E942AE" w:rsidRPr="00373003">
        <w:rPr>
          <w:sz w:val="24"/>
          <w:szCs w:val="24"/>
        </w:rPr>
        <w:t xml:space="preserve"> Frattamaggiore </w:t>
      </w:r>
      <w:r w:rsidR="00801CC0" w:rsidRPr="00373003">
        <w:rPr>
          <w:sz w:val="24"/>
          <w:szCs w:val="24"/>
        </w:rPr>
        <w:t xml:space="preserve">che si estende su una superfice </w:t>
      </w:r>
      <w:r w:rsidR="00D16DAB" w:rsidRPr="00373003">
        <w:rPr>
          <w:sz w:val="24"/>
          <w:szCs w:val="24"/>
        </w:rPr>
        <w:t xml:space="preserve">di </w:t>
      </w:r>
      <w:r w:rsidR="0090445F" w:rsidRPr="00373003">
        <w:rPr>
          <w:sz w:val="24"/>
          <w:szCs w:val="24"/>
        </w:rPr>
        <w:t>oltre 2</w:t>
      </w:r>
      <w:r w:rsidR="00D16DAB" w:rsidRPr="00373003">
        <w:rPr>
          <w:sz w:val="24"/>
          <w:szCs w:val="24"/>
        </w:rPr>
        <w:t>00.000 metri quadri</w:t>
      </w:r>
      <w:r w:rsidR="0068220F" w:rsidRPr="00373003">
        <w:rPr>
          <w:sz w:val="24"/>
          <w:szCs w:val="24"/>
        </w:rPr>
        <w:t>.</w:t>
      </w:r>
    </w:p>
    <w:p w14:paraId="1D8287A2" w14:textId="7BBC6EBB" w:rsidR="00145AD2" w:rsidRDefault="00796130" w:rsidP="00A652A7">
      <w:p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m</w:t>
      </w:r>
      <w:r w:rsidR="008674A4" w:rsidRPr="00373003">
        <w:rPr>
          <w:sz w:val="24"/>
          <w:szCs w:val="24"/>
        </w:rPr>
        <w:t xml:space="preserve">ercato degli </w:t>
      </w:r>
      <w:r w:rsidR="008674A4" w:rsidRPr="008B4177">
        <w:rPr>
          <w:b/>
          <w:bCs/>
          <w:i/>
          <w:iCs/>
          <w:sz w:val="24"/>
          <w:szCs w:val="24"/>
        </w:rPr>
        <w:t>uffici</w:t>
      </w:r>
      <w:r w:rsidR="0041346B" w:rsidRPr="00373003">
        <w:rPr>
          <w:sz w:val="24"/>
          <w:szCs w:val="24"/>
        </w:rPr>
        <w:t xml:space="preserve"> che finalmente</w:t>
      </w:r>
      <w:r w:rsidR="008674A4" w:rsidRPr="00373003">
        <w:rPr>
          <w:sz w:val="24"/>
          <w:szCs w:val="24"/>
        </w:rPr>
        <w:t xml:space="preserve"> segnala una ripresa: </w:t>
      </w:r>
      <w:r w:rsidR="0041346B" w:rsidRPr="00373003">
        <w:rPr>
          <w:sz w:val="24"/>
          <w:szCs w:val="24"/>
        </w:rPr>
        <w:t xml:space="preserve">infatti </w:t>
      </w:r>
      <w:r w:rsidR="008674A4" w:rsidRPr="00373003">
        <w:rPr>
          <w:sz w:val="24"/>
          <w:szCs w:val="24"/>
        </w:rPr>
        <w:t>negli anni scorsi c’era sofferenza, il centro direzionale</w:t>
      </w:r>
      <w:r w:rsidR="00145AD2" w:rsidRPr="00373003">
        <w:rPr>
          <w:sz w:val="24"/>
          <w:szCs w:val="24"/>
        </w:rPr>
        <w:t xml:space="preserve"> con un tasso di occupazione molto basso</w:t>
      </w:r>
      <w:r w:rsidR="008674A4" w:rsidRPr="00373003">
        <w:rPr>
          <w:sz w:val="24"/>
          <w:szCs w:val="24"/>
        </w:rPr>
        <w:t xml:space="preserve"> </w:t>
      </w:r>
      <w:r w:rsidR="00145AD2" w:rsidRPr="00373003">
        <w:rPr>
          <w:sz w:val="24"/>
          <w:szCs w:val="24"/>
        </w:rPr>
        <w:t>non era più appetibile per gli investitori</w:t>
      </w:r>
      <w:r w:rsidR="000D434A" w:rsidRPr="00373003">
        <w:rPr>
          <w:sz w:val="24"/>
          <w:szCs w:val="24"/>
        </w:rPr>
        <w:t xml:space="preserve"> ed aziende.</w:t>
      </w:r>
      <w:r w:rsidR="00671F38" w:rsidRPr="00373003">
        <w:rPr>
          <w:sz w:val="24"/>
          <w:szCs w:val="24"/>
        </w:rPr>
        <w:t xml:space="preserve"> </w:t>
      </w:r>
      <w:r w:rsidR="00145AD2" w:rsidRPr="00373003">
        <w:rPr>
          <w:sz w:val="24"/>
          <w:szCs w:val="24"/>
        </w:rPr>
        <w:t>N</w:t>
      </w:r>
      <w:r w:rsidR="0068220F" w:rsidRPr="00373003">
        <w:rPr>
          <w:sz w:val="24"/>
          <w:szCs w:val="24"/>
        </w:rPr>
        <w:t xml:space="preserve">egli ultimi mesi </w:t>
      </w:r>
      <w:proofErr w:type="gramStart"/>
      <w:r w:rsidR="0068220F" w:rsidRPr="00373003">
        <w:rPr>
          <w:sz w:val="24"/>
          <w:szCs w:val="24"/>
        </w:rPr>
        <w:t>questo trend</w:t>
      </w:r>
      <w:proofErr w:type="gramEnd"/>
      <w:r w:rsidR="00145AD2" w:rsidRPr="00373003">
        <w:rPr>
          <w:sz w:val="24"/>
          <w:szCs w:val="24"/>
        </w:rPr>
        <w:t xml:space="preserve"> </w:t>
      </w:r>
      <w:r w:rsidR="00671F38" w:rsidRPr="00373003">
        <w:rPr>
          <w:sz w:val="24"/>
          <w:szCs w:val="24"/>
        </w:rPr>
        <w:t xml:space="preserve">si </w:t>
      </w:r>
      <w:r w:rsidR="00145AD2" w:rsidRPr="00373003">
        <w:rPr>
          <w:sz w:val="24"/>
          <w:szCs w:val="24"/>
        </w:rPr>
        <w:t>è</w:t>
      </w:r>
      <w:r w:rsidR="00671F38" w:rsidRPr="00373003">
        <w:rPr>
          <w:sz w:val="24"/>
          <w:szCs w:val="24"/>
        </w:rPr>
        <w:t xml:space="preserve"> nettamente</w:t>
      </w:r>
      <w:r w:rsidR="00145AD2" w:rsidRPr="00373003">
        <w:rPr>
          <w:sz w:val="24"/>
          <w:szCs w:val="24"/>
        </w:rPr>
        <w:t xml:space="preserve"> invertito</w:t>
      </w:r>
      <w:r w:rsidR="00671F38" w:rsidRPr="00373003">
        <w:rPr>
          <w:sz w:val="24"/>
          <w:szCs w:val="24"/>
        </w:rPr>
        <w:t xml:space="preserve"> infatti </w:t>
      </w:r>
      <w:r w:rsidR="00145AD2" w:rsidRPr="00373003">
        <w:rPr>
          <w:sz w:val="24"/>
          <w:szCs w:val="24"/>
        </w:rPr>
        <w:t xml:space="preserve">gli uffici si stanno lentamente </w:t>
      </w:r>
      <w:r w:rsidR="000D6002" w:rsidRPr="00373003">
        <w:rPr>
          <w:sz w:val="24"/>
          <w:szCs w:val="24"/>
        </w:rPr>
        <w:t xml:space="preserve">occupando in seguito </w:t>
      </w:r>
      <w:r w:rsidR="00671F38" w:rsidRPr="00373003">
        <w:rPr>
          <w:sz w:val="24"/>
          <w:szCs w:val="24"/>
        </w:rPr>
        <w:t>sia</w:t>
      </w:r>
      <w:r w:rsidR="000D6002" w:rsidRPr="00373003">
        <w:rPr>
          <w:sz w:val="24"/>
          <w:szCs w:val="24"/>
        </w:rPr>
        <w:t xml:space="preserve"> riduzione </w:t>
      </w:r>
      <w:r w:rsidR="00671F38" w:rsidRPr="00373003">
        <w:rPr>
          <w:sz w:val="24"/>
          <w:szCs w:val="24"/>
        </w:rPr>
        <w:t>da parte delle aziende</w:t>
      </w:r>
      <w:r w:rsidR="000D6002" w:rsidRPr="00373003">
        <w:rPr>
          <w:sz w:val="24"/>
          <w:szCs w:val="24"/>
        </w:rPr>
        <w:t xml:space="preserve"> allo smart working</w:t>
      </w:r>
      <w:r w:rsidR="00671F38" w:rsidRPr="00373003">
        <w:rPr>
          <w:sz w:val="24"/>
          <w:szCs w:val="24"/>
        </w:rPr>
        <w:t xml:space="preserve"> sia ad un forte interesse da parte delle </w:t>
      </w:r>
      <w:r w:rsidR="00E16A5E" w:rsidRPr="00373003">
        <w:rPr>
          <w:sz w:val="24"/>
          <w:szCs w:val="24"/>
        </w:rPr>
        <w:t xml:space="preserve">stesse </w:t>
      </w:r>
      <w:r w:rsidR="00671F38" w:rsidRPr="00373003">
        <w:rPr>
          <w:sz w:val="24"/>
          <w:szCs w:val="24"/>
        </w:rPr>
        <w:t xml:space="preserve">aziende dovuto alla prossima apertura della fermata della metropolitana </w:t>
      </w:r>
      <w:r w:rsidR="00E16A5E" w:rsidRPr="00373003">
        <w:rPr>
          <w:sz w:val="24"/>
          <w:szCs w:val="24"/>
        </w:rPr>
        <w:t>“centro direzionale”</w:t>
      </w:r>
      <w:r w:rsidR="00671F38" w:rsidRPr="00373003">
        <w:rPr>
          <w:sz w:val="24"/>
          <w:szCs w:val="24"/>
        </w:rPr>
        <w:t>, che renderà molto più agevole raggiungere il posto di lavoro evitando il traffico cittadino</w:t>
      </w:r>
      <w:r>
        <w:rPr>
          <w:sz w:val="24"/>
          <w:szCs w:val="24"/>
        </w:rPr>
        <w:t>”</w:t>
      </w:r>
      <w:r w:rsidR="00671F38" w:rsidRPr="00373003">
        <w:rPr>
          <w:sz w:val="24"/>
          <w:szCs w:val="24"/>
        </w:rPr>
        <w:t>.</w:t>
      </w:r>
      <w:r w:rsidR="00145AD2" w:rsidRPr="00373003">
        <w:rPr>
          <w:sz w:val="24"/>
          <w:szCs w:val="24"/>
        </w:rPr>
        <w:t xml:space="preserve">  </w:t>
      </w:r>
    </w:p>
    <w:p w14:paraId="685D3CFB" w14:textId="46979B5A" w:rsidR="00373003" w:rsidRDefault="00373003" w:rsidP="00A652A7">
      <w:pPr>
        <w:spacing w:after="0" w:line="259" w:lineRule="auto"/>
        <w:jc w:val="center"/>
        <w:rPr>
          <w:b/>
          <w:bCs/>
          <w:color w:val="C00000"/>
          <w:sz w:val="28"/>
          <w:szCs w:val="28"/>
        </w:rPr>
      </w:pPr>
      <w:proofErr w:type="gramStart"/>
      <w:r w:rsidRPr="00373003">
        <w:rPr>
          <w:b/>
          <w:bCs/>
          <w:color w:val="C00000"/>
          <w:sz w:val="28"/>
          <w:szCs w:val="28"/>
        </w:rPr>
        <w:lastRenderedPageBreak/>
        <w:t>TREND</w:t>
      </w:r>
      <w:proofErr w:type="gramEnd"/>
      <w:r w:rsidRPr="00373003">
        <w:rPr>
          <w:b/>
          <w:bCs/>
          <w:color w:val="C00000"/>
          <w:sz w:val="28"/>
          <w:szCs w:val="28"/>
        </w:rPr>
        <w:t xml:space="preserve"> PREZZI E LOCAZIONI IMMOBILI PER L’IMPRESA </w:t>
      </w:r>
      <w:r>
        <w:rPr>
          <w:b/>
          <w:bCs/>
          <w:color w:val="C00000"/>
          <w:sz w:val="28"/>
          <w:szCs w:val="28"/>
        </w:rPr>
        <w:t>-</w:t>
      </w:r>
      <w:r w:rsidRPr="00373003">
        <w:rPr>
          <w:b/>
          <w:bCs/>
          <w:color w:val="C00000"/>
          <w:sz w:val="28"/>
          <w:szCs w:val="28"/>
        </w:rPr>
        <w:t xml:space="preserve"> NAPOLI CITTA’</w:t>
      </w:r>
    </w:p>
    <w:p w14:paraId="6C58DFDF" w14:textId="06D5EC01" w:rsidR="00373003" w:rsidRPr="00373003" w:rsidRDefault="00373003" w:rsidP="00A652A7">
      <w:pPr>
        <w:spacing w:after="0" w:line="259" w:lineRule="auto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(variazioni percentuali I </w:t>
      </w:r>
      <w:proofErr w:type="spellStart"/>
      <w:r>
        <w:rPr>
          <w:b/>
          <w:bCs/>
          <w:color w:val="C00000"/>
          <w:sz w:val="28"/>
          <w:szCs w:val="28"/>
        </w:rPr>
        <w:t>sem</w:t>
      </w:r>
      <w:proofErr w:type="spellEnd"/>
      <w:r>
        <w:rPr>
          <w:b/>
          <w:bCs/>
          <w:color w:val="C00000"/>
          <w:sz w:val="28"/>
          <w:szCs w:val="28"/>
        </w:rPr>
        <w:t xml:space="preserve"> 24 rispetto al II </w:t>
      </w:r>
      <w:proofErr w:type="spellStart"/>
      <w:r>
        <w:rPr>
          <w:b/>
          <w:bCs/>
          <w:color w:val="C00000"/>
          <w:sz w:val="28"/>
          <w:szCs w:val="28"/>
        </w:rPr>
        <w:t>sem</w:t>
      </w:r>
      <w:proofErr w:type="spellEnd"/>
      <w:r>
        <w:rPr>
          <w:b/>
          <w:bCs/>
          <w:color w:val="C00000"/>
          <w:sz w:val="28"/>
          <w:szCs w:val="28"/>
        </w:rPr>
        <w:t xml:space="preserve"> 23)</w:t>
      </w:r>
    </w:p>
    <w:p w14:paraId="36929BD2" w14:textId="77777777" w:rsidR="00373003" w:rsidRDefault="00373003" w:rsidP="00A652A7">
      <w:pPr>
        <w:spacing w:after="0" w:line="259" w:lineRule="auto"/>
        <w:jc w:val="both"/>
        <w:rPr>
          <w:b/>
          <w:bCs/>
          <w:color w:val="C00000"/>
        </w:rPr>
      </w:pPr>
    </w:p>
    <w:p w14:paraId="0935DA75" w14:textId="5CCE805A" w:rsidR="00373003" w:rsidRPr="00373003" w:rsidRDefault="00373003" w:rsidP="00A652A7">
      <w:pPr>
        <w:spacing w:after="0" w:line="259" w:lineRule="auto"/>
        <w:jc w:val="both"/>
        <w:rPr>
          <w:b/>
          <w:bCs/>
          <w:color w:val="C00000"/>
        </w:rPr>
      </w:pPr>
      <w:r w:rsidRPr="00373003">
        <w:rPr>
          <w:b/>
          <w:bCs/>
          <w:color w:val="C00000"/>
        </w:rPr>
        <w:t>CAPANNONI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20"/>
        <w:gridCol w:w="2200"/>
        <w:gridCol w:w="1940"/>
        <w:gridCol w:w="1696"/>
      </w:tblGrid>
      <w:tr w:rsidR="00373003" w14:paraId="3551AAFE" w14:textId="77777777" w:rsidTr="00B6592C">
        <w:trPr>
          <w:gridBefore w:val="1"/>
          <w:wBefore w:w="1940" w:type="dxa"/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2CC2F" w14:textId="791EEDE9" w:rsidR="00373003" w:rsidRDefault="00373003" w:rsidP="00A652A7">
            <w:pPr>
              <w:spacing w:after="0" w:line="259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Nuovo vicino alle arterie di comunicazione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01C90" w14:textId="77777777" w:rsidR="00373003" w:rsidRDefault="00373003" w:rsidP="00A652A7">
            <w:pPr>
              <w:spacing w:after="0" w:line="259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Nuovo lontano dalle arterie di comunicazione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492F5" w14:textId="77777777" w:rsidR="00373003" w:rsidRDefault="00373003" w:rsidP="00A652A7">
            <w:pPr>
              <w:spacing w:after="0" w:line="259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Usato vicino alle arterie di comunicazione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6A842" w14:textId="14F2F7CD" w:rsidR="00373003" w:rsidRDefault="00373003" w:rsidP="00A652A7">
            <w:pPr>
              <w:spacing w:after="0" w:line="259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Usato lontano dalle arterie di comunicazione</w:t>
            </w:r>
          </w:p>
        </w:tc>
      </w:tr>
      <w:tr w:rsidR="00373003" w14:paraId="041C523C" w14:textId="77777777" w:rsidTr="00B6592C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9A2E6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Prezzi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B161E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0%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C3817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Cs/>
              </w:rPr>
            </w:pPr>
            <w:r w:rsidRPr="00EB65D3">
              <w:rPr>
                <w:rFonts w:eastAsia="Times New Roman" w:cs="Times New Roman"/>
                <w:bCs/>
              </w:rPr>
              <w:t>0%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0B73B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Cs/>
              </w:rPr>
            </w:pPr>
            <w:r w:rsidRPr="00EB65D3">
              <w:rPr>
                <w:rFonts w:eastAsia="Times New Roman" w:cs="Times New Roman"/>
                <w:bCs/>
              </w:rPr>
              <w:t>0%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20311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+3,1%</w:t>
            </w:r>
          </w:p>
        </w:tc>
      </w:tr>
      <w:tr w:rsidR="00373003" w14:paraId="42404F55" w14:textId="77777777" w:rsidTr="00B6592C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B7DF8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Canoni di locazione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C7971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0%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BE8E7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Cs/>
              </w:rPr>
            </w:pPr>
            <w:r w:rsidRPr="00EB65D3">
              <w:rPr>
                <w:rFonts w:eastAsia="Times New Roman" w:cs="Times New Roman"/>
                <w:bCs/>
              </w:rPr>
              <w:t>0%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29B58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-2,8%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E4601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+3,1%</w:t>
            </w:r>
          </w:p>
        </w:tc>
      </w:tr>
    </w:tbl>
    <w:p w14:paraId="383047D8" w14:textId="77777777" w:rsidR="00373003" w:rsidRPr="000C547C" w:rsidRDefault="00373003" w:rsidP="00A652A7">
      <w:pPr>
        <w:spacing w:after="0" w:line="259" w:lineRule="auto"/>
        <w:jc w:val="both"/>
        <w:rPr>
          <w:rFonts w:eastAsia="Calibri" w:cs="Times New Roman"/>
        </w:rPr>
      </w:pPr>
    </w:p>
    <w:p w14:paraId="2F410CC0" w14:textId="0DCB3623" w:rsidR="00373003" w:rsidRPr="00373003" w:rsidRDefault="00373003" w:rsidP="00A652A7">
      <w:pPr>
        <w:spacing w:after="0" w:line="259" w:lineRule="auto"/>
        <w:jc w:val="both"/>
        <w:rPr>
          <w:b/>
          <w:bCs/>
          <w:color w:val="C00000"/>
        </w:rPr>
      </w:pPr>
      <w:r w:rsidRPr="00373003">
        <w:rPr>
          <w:b/>
          <w:bCs/>
          <w:color w:val="C00000"/>
        </w:rPr>
        <w:t xml:space="preserve">LABORATORI </w:t>
      </w:r>
    </w:p>
    <w:tbl>
      <w:tblPr>
        <w:tblW w:w="36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619"/>
      </w:tblGrid>
      <w:tr w:rsidR="00373003" w14:paraId="1AB47DC5" w14:textId="77777777" w:rsidTr="00B6592C">
        <w:trPr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EF13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Prezzi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A9720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-9,3%</w:t>
            </w:r>
          </w:p>
        </w:tc>
      </w:tr>
      <w:tr w:rsidR="00373003" w14:paraId="5F6A6EA0" w14:textId="77777777" w:rsidTr="00B6592C">
        <w:trPr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9AB90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Canoni di locazione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7613F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+2,8%</w:t>
            </w:r>
          </w:p>
        </w:tc>
      </w:tr>
    </w:tbl>
    <w:p w14:paraId="1122C792" w14:textId="77777777" w:rsidR="00373003" w:rsidRDefault="00373003" w:rsidP="00A652A7">
      <w:pPr>
        <w:spacing w:after="0" w:line="259" w:lineRule="auto"/>
        <w:jc w:val="both"/>
        <w:rPr>
          <w:b/>
          <w:bCs/>
        </w:rPr>
      </w:pPr>
    </w:p>
    <w:p w14:paraId="7AAF1F02" w14:textId="5C28E409" w:rsidR="00373003" w:rsidRPr="00373003" w:rsidRDefault="00373003" w:rsidP="00A652A7">
      <w:pPr>
        <w:spacing w:after="0" w:line="259" w:lineRule="auto"/>
        <w:jc w:val="both"/>
        <w:rPr>
          <w:b/>
          <w:bCs/>
          <w:color w:val="C00000"/>
        </w:rPr>
      </w:pPr>
      <w:r w:rsidRPr="00373003">
        <w:rPr>
          <w:b/>
          <w:bCs/>
          <w:color w:val="C00000"/>
        </w:rPr>
        <w:t>NEGOZI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20"/>
        <w:gridCol w:w="2200"/>
      </w:tblGrid>
      <w:tr w:rsidR="00373003" w14:paraId="6BFCBA36" w14:textId="77777777" w:rsidTr="00B6592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25F8F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Negozi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8BCA0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Vie di passaggio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3180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Vie non di passaggio</w:t>
            </w:r>
          </w:p>
        </w:tc>
      </w:tr>
      <w:tr w:rsidR="00373003" w14:paraId="2283F027" w14:textId="77777777" w:rsidTr="00B6592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0AB18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Prezzi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08CC3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+0,5%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4F4E6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+1,9%</w:t>
            </w:r>
          </w:p>
        </w:tc>
      </w:tr>
      <w:tr w:rsidR="00373003" w14:paraId="6CF06553" w14:textId="77777777" w:rsidTr="00B6592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0BE6B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Canoni di locazione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5D5D4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-6,2%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90061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-5,9%</w:t>
            </w:r>
          </w:p>
        </w:tc>
      </w:tr>
    </w:tbl>
    <w:p w14:paraId="6168B6B3" w14:textId="77777777" w:rsidR="00373003" w:rsidRPr="00373003" w:rsidRDefault="00373003" w:rsidP="00A652A7">
      <w:pPr>
        <w:spacing w:after="0" w:line="259" w:lineRule="auto"/>
        <w:jc w:val="both"/>
        <w:rPr>
          <w:sz w:val="24"/>
          <w:szCs w:val="24"/>
        </w:rPr>
      </w:pPr>
    </w:p>
    <w:p w14:paraId="3494A949" w14:textId="77777777" w:rsidR="00373003" w:rsidRPr="00373003" w:rsidRDefault="0068220F" w:rsidP="00A652A7">
      <w:pPr>
        <w:spacing w:after="0" w:line="259" w:lineRule="auto"/>
        <w:jc w:val="both"/>
        <w:rPr>
          <w:b/>
          <w:bCs/>
          <w:color w:val="C00000"/>
        </w:rPr>
      </w:pPr>
      <w:r w:rsidRPr="00373003">
        <w:rPr>
          <w:color w:val="C00000"/>
          <w:sz w:val="24"/>
          <w:szCs w:val="24"/>
        </w:rPr>
        <w:t xml:space="preserve"> </w:t>
      </w:r>
      <w:r w:rsidR="00373003" w:rsidRPr="00373003">
        <w:rPr>
          <w:b/>
          <w:bCs/>
          <w:color w:val="C00000"/>
        </w:rPr>
        <w:t xml:space="preserve">UFFICI 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03"/>
        <w:gridCol w:w="2126"/>
        <w:gridCol w:w="1843"/>
        <w:gridCol w:w="1842"/>
      </w:tblGrid>
      <w:tr w:rsidR="00373003" w14:paraId="09E63CEB" w14:textId="77777777" w:rsidTr="00B6592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F36C7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Uffici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5414B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Nuovo in centri direzionali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9B4A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Nuovo in palazzine residenziali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00C79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Usato in centri direzionali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B4657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Usato in palazzine residenziali</w:t>
            </w:r>
          </w:p>
        </w:tc>
      </w:tr>
      <w:tr w:rsidR="00373003" w14:paraId="3181F20F" w14:textId="77777777" w:rsidTr="00B6592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BB785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Prezzi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C5358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-8,6%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60B44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-6,7%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B27A9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-1,9%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D772D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+1,5%</w:t>
            </w:r>
          </w:p>
        </w:tc>
      </w:tr>
      <w:tr w:rsidR="00373003" w14:paraId="52D32A8D" w14:textId="77777777" w:rsidTr="00B6592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FF4E6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Canoni di locazione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31864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-0,9%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B58F8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0F51D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83D44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-7,7%</w:t>
            </w:r>
          </w:p>
        </w:tc>
      </w:tr>
    </w:tbl>
    <w:p w14:paraId="248735A8" w14:textId="0A143CB1" w:rsidR="00C82EC2" w:rsidRDefault="00C82EC2" w:rsidP="00A652A7">
      <w:pPr>
        <w:spacing w:after="0" w:line="259" w:lineRule="auto"/>
        <w:rPr>
          <w:sz w:val="24"/>
          <w:szCs w:val="24"/>
        </w:rPr>
      </w:pPr>
    </w:p>
    <w:p w14:paraId="6D8F3C48" w14:textId="64F335D4" w:rsidR="00373003" w:rsidRDefault="00373003" w:rsidP="00A652A7">
      <w:pPr>
        <w:spacing w:after="0" w:line="259" w:lineRule="auto"/>
        <w:jc w:val="center"/>
        <w:rPr>
          <w:b/>
          <w:bCs/>
          <w:color w:val="C00000"/>
          <w:sz w:val="28"/>
          <w:szCs w:val="28"/>
        </w:rPr>
      </w:pPr>
      <w:proofErr w:type="gramStart"/>
      <w:r w:rsidRPr="00373003">
        <w:rPr>
          <w:b/>
          <w:bCs/>
          <w:color w:val="C00000"/>
          <w:sz w:val="28"/>
          <w:szCs w:val="28"/>
        </w:rPr>
        <w:t>TREND</w:t>
      </w:r>
      <w:proofErr w:type="gramEnd"/>
      <w:r w:rsidRPr="00373003">
        <w:rPr>
          <w:b/>
          <w:bCs/>
          <w:color w:val="C00000"/>
          <w:sz w:val="28"/>
          <w:szCs w:val="28"/>
        </w:rPr>
        <w:t xml:space="preserve"> PREZZI E LOCAZIONI IMMOBILI PER L’IMPRESA </w:t>
      </w:r>
      <w:r>
        <w:rPr>
          <w:b/>
          <w:bCs/>
          <w:color w:val="C00000"/>
          <w:sz w:val="28"/>
          <w:szCs w:val="28"/>
        </w:rPr>
        <w:t>-</w:t>
      </w:r>
      <w:r w:rsidRPr="00373003">
        <w:rPr>
          <w:b/>
          <w:bCs/>
          <w:color w:val="C00000"/>
          <w:sz w:val="28"/>
          <w:szCs w:val="28"/>
        </w:rPr>
        <w:t xml:space="preserve"> NAPOLI </w:t>
      </w:r>
      <w:r>
        <w:rPr>
          <w:b/>
          <w:bCs/>
          <w:color w:val="C00000"/>
          <w:sz w:val="28"/>
          <w:szCs w:val="28"/>
        </w:rPr>
        <w:t>PROVINCIA</w:t>
      </w:r>
    </w:p>
    <w:p w14:paraId="2C65E90B" w14:textId="77777777" w:rsidR="00373003" w:rsidRPr="00373003" w:rsidRDefault="00373003" w:rsidP="00A652A7">
      <w:pPr>
        <w:spacing w:after="0" w:line="259" w:lineRule="auto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(variazioni percentuali I </w:t>
      </w:r>
      <w:proofErr w:type="spellStart"/>
      <w:r>
        <w:rPr>
          <w:b/>
          <w:bCs/>
          <w:color w:val="C00000"/>
          <w:sz w:val="28"/>
          <w:szCs w:val="28"/>
        </w:rPr>
        <w:t>sem</w:t>
      </w:r>
      <w:proofErr w:type="spellEnd"/>
      <w:r>
        <w:rPr>
          <w:b/>
          <w:bCs/>
          <w:color w:val="C00000"/>
          <w:sz w:val="28"/>
          <w:szCs w:val="28"/>
        </w:rPr>
        <w:t xml:space="preserve"> 24 rispetto al II </w:t>
      </w:r>
      <w:proofErr w:type="spellStart"/>
      <w:r>
        <w:rPr>
          <w:b/>
          <w:bCs/>
          <w:color w:val="C00000"/>
          <w:sz w:val="28"/>
          <w:szCs w:val="28"/>
        </w:rPr>
        <w:t>sem</w:t>
      </w:r>
      <w:proofErr w:type="spellEnd"/>
      <w:r>
        <w:rPr>
          <w:b/>
          <w:bCs/>
          <w:color w:val="C00000"/>
          <w:sz w:val="28"/>
          <w:szCs w:val="28"/>
        </w:rPr>
        <w:t xml:space="preserve"> 23)</w:t>
      </w:r>
    </w:p>
    <w:p w14:paraId="6A444E61" w14:textId="78757154" w:rsidR="00373003" w:rsidRPr="00373003" w:rsidRDefault="00373003" w:rsidP="00A652A7">
      <w:pPr>
        <w:spacing w:after="0" w:line="259" w:lineRule="auto"/>
        <w:jc w:val="both"/>
        <w:rPr>
          <w:b/>
          <w:bCs/>
          <w:color w:val="C00000"/>
        </w:rPr>
      </w:pPr>
      <w:r w:rsidRPr="00373003">
        <w:rPr>
          <w:b/>
          <w:bCs/>
          <w:color w:val="C00000"/>
        </w:rPr>
        <w:t>CAPANNONI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20"/>
        <w:gridCol w:w="2200"/>
        <w:gridCol w:w="1940"/>
        <w:gridCol w:w="1696"/>
      </w:tblGrid>
      <w:tr w:rsidR="00373003" w14:paraId="08F1E17B" w14:textId="77777777" w:rsidTr="0089319E">
        <w:trPr>
          <w:gridBefore w:val="1"/>
          <w:wBefore w:w="1940" w:type="dxa"/>
          <w:trHeight w:val="72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2D5D4" w14:textId="149C5E1D" w:rsidR="00373003" w:rsidRPr="0089319E" w:rsidRDefault="00373003" w:rsidP="0089319E">
            <w:pPr>
              <w:spacing w:after="0" w:line="259" w:lineRule="auto"/>
              <w:rPr>
                <w:rFonts w:eastAsia="Times New Roman" w:cs="Times New Roman"/>
                <w:b/>
              </w:rPr>
            </w:pPr>
            <w:r w:rsidRPr="0089319E">
              <w:rPr>
                <w:rFonts w:eastAsia="Times New Roman" w:cs="Times New Roman"/>
                <w:b/>
              </w:rPr>
              <w:t>Nuovo vicino alle arterie di comunicazione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20540" w14:textId="77777777" w:rsidR="00373003" w:rsidRPr="0089319E" w:rsidRDefault="00373003" w:rsidP="0089319E">
            <w:pPr>
              <w:spacing w:after="0" w:line="259" w:lineRule="auto"/>
              <w:rPr>
                <w:rFonts w:eastAsia="Times New Roman" w:cs="Times New Roman"/>
                <w:b/>
              </w:rPr>
            </w:pPr>
            <w:r w:rsidRPr="0089319E">
              <w:rPr>
                <w:rFonts w:eastAsia="Times New Roman" w:cs="Times New Roman"/>
                <w:b/>
              </w:rPr>
              <w:t>Nuovo lontano dalle arterie di comunicazione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03CEB" w14:textId="77777777" w:rsidR="00373003" w:rsidRPr="0089319E" w:rsidRDefault="00373003" w:rsidP="0089319E">
            <w:pPr>
              <w:spacing w:after="0" w:line="259" w:lineRule="auto"/>
              <w:rPr>
                <w:rFonts w:eastAsia="Times New Roman" w:cs="Times New Roman"/>
                <w:b/>
              </w:rPr>
            </w:pPr>
            <w:r w:rsidRPr="0089319E">
              <w:rPr>
                <w:rFonts w:eastAsia="Times New Roman" w:cs="Times New Roman"/>
                <w:b/>
              </w:rPr>
              <w:t xml:space="preserve">Usato vicino alle arterie di comunicazione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DE6F4" w14:textId="5C146661" w:rsidR="00373003" w:rsidRPr="0089319E" w:rsidRDefault="00373003" w:rsidP="0089319E">
            <w:pPr>
              <w:spacing w:after="0" w:line="259" w:lineRule="auto"/>
              <w:rPr>
                <w:rFonts w:eastAsia="Times New Roman" w:cs="Times New Roman"/>
                <w:b/>
              </w:rPr>
            </w:pPr>
            <w:r w:rsidRPr="0089319E">
              <w:rPr>
                <w:rFonts w:eastAsia="Times New Roman" w:cs="Times New Roman"/>
                <w:b/>
              </w:rPr>
              <w:t>Usato lontano dalle arterie di comunicazione</w:t>
            </w:r>
          </w:p>
        </w:tc>
      </w:tr>
      <w:tr w:rsidR="00373003" w14:paraId="275CCCD7" w14:textId="77777777" w:rsidTr="00B6592C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3E00F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Prezzi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77805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+8,3%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3FFC1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+17,5%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761D6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+15,3%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1169A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+13,4%</w:t>
            </w:r>
          </w:p>
        </w:tc>
      </w:tr>
      <w:tr w:rsidR="00373003" w14:paraId="1E6C5F16" w14:textId="77777777" w:rsidTr="00B6592C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B251B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Canoni di locazione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B3DD9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0%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07AC9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  <w:bCs/>
              </w:rPr>
            </w:pPr>
            <w:r w:rsidRPr="006C0106">
              <w:rPr>
                <w:rFonts w:eastAsia="Times New Roman" w:cs="Times New Roman"/>
                <w:bCs/>
              </w:rPr>
              <w:t>0%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33967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  <w:bCs/>
              </w:rPr>
            </w:pPr>
            <w:r w:rsidRPr="006C0106">
              <w:rPr>
                <w:rFonts w:eastAsia="Times New Roman" w:cs="Times New Roman"/>
                <w:bCs/>
              </w:rPr>
              <w:t>0%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DE9BB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  <w:bCs/>
              </w:rPr>
            </w:pPr>
            <w:r w:rsidRPr="006C0106">
              <w:rPr>
                <w:rFonts w:eastAsia="Times New Roman" w:cs="Times New Roman"/>
                <w:bCs/>
              </w:rPr>
              <w:t>0%</w:t>
            </w:r>
          </w:p>
        </w:tc>
      </w:tr>
    </w:tbl>
    <w:p w14:paraId="01CD590E" w14:textId="77777777" w:rsidR="0089319E" w:rsidRPr="000C547C" w:rsidRDefault="0089319E" w:rsidP="00A652A7">
      <w:pPr>
        <w:spacing w:after="0" w:line="259" w:lineRule="auto"/>
        <w:jc w:val="both"/>
        <w:rPr>
          <w:rFonts w:eastAsia="Calibri" w:cs="Times New Roman"/>
        </w:rPr>
      </w:pPr>
    </w:p>
    <w:p w14:paraId="186EEB55" w14:textId="77777777" w:rsidR="00373003" w:rsidRPr="00373003" w:rsidRDefault="00373003" w:rsidP="00A652A7">
      <w:pPr>
        <w:spacing w:after="0" w:line="259" w:lineRule="auto"/>
        <w:rPr>
          <w:b/>
          <w:bCs/>
          <w:color w:val="C00000"/>
        </w:rPr>
      </w:pPr>
      <w:r w:rsidRPr="00373003">
        <w:rPr>
          <w:b/>
          <w:bCs/>
          <w:color w:val="C00000"/>
        </w:rPr>
        <w:t xml:space="preserve">LABORATORI </w:t>
      </w:r>
    </w:p>
    <w:tbl>
      <w:tblPr>
        <w:tblW w:w="36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619"/>
      </w:tblGrid>
      <w:tr w:rsidR="00373003" w14:paraId="7CFAD25E" w14:textId="77777777" w:rsidTr="00B6592C">
        <w:trPr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6ED79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Prezzi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133BE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+3,5%</w:t>
            </w:r>
          </w:p>
        </w:tc>
      </w:tr>
      <w:tr w:rsidR="00373003" w14:paraId="64A59061" w14:textId="77777777" w:rsidTr="00B6592C">
        <w:trPr>
          <w:trHeight w:val="31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551E4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Canoni di locazione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36779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0%</w:t>
            </w:r>
          </w:p>
        </w:tc>
      </w:tr>
    </w:tbl>
    <w:p w14:paraId="3EA0CA28" w14:textId="77777777" w:rsidR="00373003" w:rsidRDefault="00373003" w:rsidP="00A652A7">
      <w:pPr>
        <w:spacing w:after="0" w:line="259" w:lineRule="auto"/>
        <w:jc w:val="both"/>
        <w:rPr>
          <w:b/>
          <w:bCs/>
        </w:rPr>
      </w:pPr>
    </w:p>
    <w:p w14:paraId="2F96ABAE" w14:textId="77777777" w:rsidR="00373003" w:rsidRPr="00373003" w:rsidRDefault="00373003" w:rsidP="00A652A7">
      <w:pPr>
        <w:spacing w:after="0" w:line="259" w:lineRule="auto"/>
        <w:jc w:val="both"/>
        <w:rPr>
          <w:b/>
          <w:bCs/>
          <w:color w:val="C00000"/>
        </w:rPr>
      </w:pPr>
      <w:r w:rsidRPr="00373003">
        <w:rPr>
          <w:b/>
          <w:bCs/>
          <w:color w:val="C00000"/>
        </w:rPr>
        <w:t>NEGOZI</w:t>
      </w:r>
    </w:p>
    <w:tbl>
      <w:tblPr>
        <w:tblW w:w="6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20"/>
        <w:gridCol w:w="2200"/>
      </w:tblGrid>
      <w:tr w:rsidR="00373003" w14:paraId="4637A7DE" w14:textId="77777777" w:rsidTr="00B6592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F4C5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Negozi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E165D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Vie di passaggio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CBDBB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Vie non di passaggio</w:t>
            </w:r>
          </w:p>
        </w:tc>
      </w:tr>
      <w:tr w:rsidR="00373003" w14:paraId="162FC47B" w14:textId="77777777" w:rsidTr="00B6592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FCFEE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Prezzi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8C6F6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+0,2%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59B9D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-2,1%</w:t>
            </w:r>
          </w:p>
        </w:tc>
      </w:tr>
      <w:tr w:rsidR="00373003" w14:paraId="7E65FF73" w14:textId="77777777" w:rsidTr="00B6592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172A2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Canoni di locazione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7836D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+2,1%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9A684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0%</w:t>
            </w:r>
          </w:p>
        </w:tc>
      </w:tr>
    </w:tbl>
    <w:p w14:paraId="06A8CBBA" w14:textId="77777777" w:rsidR="0089319E" w:rsidRDefault="0089319E" w:rsidP="00A652A7">
      <w:pPr>
        <w:spacing w:after="0" w:line="259" w:lineRule="auto"/>
      </w:pPr>
    </w:p>
    <w:p w14:paraId="3B8C16DC" w14:textId="77777777" w:rsidR="0089319E" w:rsidRDefault="0089319E" w:rsidP="00A652A7">
      <w:pPr>
        <w:spacing w:after="0" w:line="259" w:lineRule="auto"/>
      </w:pPr>
    </w:p>
    <w:p w14:paraId="6043CFAC" w14:textId="77777777" w:rsidR="0089319E" w:rsidRDefault="0089319E" w:rsidP="00A652A7">
      <w:pPr>
        <w:spacing w:after="0" w:line="259" w:lineRule="auto"/>
      </w:pPr>
    </w:p>
    <w:p w14:paraId="4CC9281B" w14:textId="77777777" w:rsidR="0089319E" w:rsidRDefault="0089319E" w:rsidP="00A652A7">
      <w:pPr>
        <w:spacing w:after="0" w:line="259" w:lineRule="auto"/>
      </w:pPr>
    </w:p>
    <w:p w14:paraId="31A51AB9" w14:textId="77777777" w:rsidR="00373003" w:rsidRPr="00373003" w:rsidRDefault="00373003" w:rsidP="00A652A7">
      <w:pPr>
        <w:spacing w:after="0" w:line="259" w:lineRule="auto"/>
        <w:rPr>
          <w:b/>
          <w:bCs/>
          <w:color w:val="C00000"/>
        </w:rPr>
      </w:pPr>
      <w:r w:rsidRPr="00373003">
        <w:rPr>
          <w:b/>
          <w:bCs/>
          <w:color w:val="C00000"/>
        </w:rPr>
        <w:t xml:space="preserve">UFFICI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03"/>
        <w:gridCol w:w="2126"/>
        <w:gridCol w:w="1843"/>
        <w:gridCol w:w="1842"/>
      </w:tblGrid>
      <w:tr w:rsidR="00373003" w14:paraId="68E1AF06" w14:textId="77777777" w:rsidTr="00B6592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EEDE5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Uffici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936FE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Nuovo in centri direzionali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F8F14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Nuovo in palazzine residenziali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0E62F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Usato in centri direzionali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B4C7B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Usato in palazzine residenziali</w:t>
            </w:r>
          </w:p>
        </w:tc>
      </w:tr>
      <w:tr w:rsidR="00373003" w14:paraId="30BFC359" w14:textId="77777777" w:rsidTr="00B6592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456B1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Prezzi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E9228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9B171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+14,4%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91CA4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C68DD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+20,8%</w:t>
            </w:r>
          </w:p>
        </w:tc>
      </w:tr>
      <w:tr w:rsidR="00373003" w14:paraId="37C32066" w14:textId="77777777" w:rsidTr="00B6592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5F7BC" w14:textId="77777777" w:rsidR="00373003" w:rsidRDefault="00373003" w:rsidP="00A652A7">
            <w:pPr>
              <w:spacing w:after="0" w:line="259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Canoni di locazione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DCF4D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674F3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+7,2%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135B1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58F9C" w14:textId="77777777" w:rsidR="00373003" w:rsidRDefault="00373003" w:rsidP="00A652A7">
            <w:pPr>
              <w:spacing w:after="0" w:line="259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+8,8%</w:t>
            </w:r>
          </w:p>
        </w:tc>
      </w:tr>
    </w:tbl>
    <w:p w14:paraId="53BEC2E5" w14:textId="77777777" w:rsidR="00373003" w:rsidRDefault="00373003" w:rsidP="00A652A7">
      <w:pPr>
        <w:spacing w:after="0" w:line="259" w:lineRule="auto"/>
      </w:pPr>
    </w:p>
    <w:p w14:paraId="535E7892" w14:textId="77777777" w:rsidR="00373003" w:rsidRPr="00373003" w:rsidRDefault="00373003" w:rsidP="00A652A7">
      <w:pPr>
        <w:spacing w:after="0" w:line="259" w:lineRule="auto"/>
        <w:rPr>
          <w:sz w:val="24"/>
          <w:szCs w:val="24"/>
        </w:rPr>
      </w:pPr>
    </w:p>
    <w:sectPr w:rsidR="00373003" w:rsidRPr="00373003" w:rsidSect="0089319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52BBB" w14:textId="77777777" w:rsidR="00373003" w:rsidRDefault="00373003" w:rsidP="00373003">
      <w:pPr>
        <w:spacing w:after="0" w:line="240" w:lineRule="auto"/>
      </w:pPr>
      <w:r>
        <w:separator/>
      </w:r>
    </w:p>
  </w:endnote>
  <w:endnote w:type="continuationSeparator" w:id="0">
    <w:p w14:paraId="53E6EE4A" w14:textId="77777777" w:rsidR="00373003" w:rsidRDefault="00373003" w:rsidP="0037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5A0F3" w14:textId="272A9B99" w:rsidR="00373003" w:rsidRPr="00373003" w:rsidRDefault="00373003" w:rsidP="00373003">
    <w:pPr>
      <w:pStyle w:val="Pidipagina"/>
      <w:jc w:val="right"/>
      <w:rPr>
        <w:b/>
        <w:bCs/>
        <w:i/>
        <w:iCs/>
      </w:rPr>
    </w:pPr>
    <w:r w:rsidRPr="00373003">
      <w:rPr>
        <w:b/>
        <w:bCs/>
        <w:i/>
        <w:iCs/>
      </w:rPr>
      <w:t>Fonte: Ufficio Studi Gruppo Tecnocasa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BAC95" w14:textId="77777777" w:rsidR="00373003" w:rsidRDefault="00373003" w:rsidP="00373003">
      <w:pPr>
        <w:spacing w:after="0" w:line="240" w:lineRule="auto"/>
      </w:pPr>
      <w:r>
        <w:separator/>
      </w:r>
    </w:p>
  </w:footnote>
  <w:footnote w:type="continuationSeparator" w:id="0">
    <w:p w14:paraId="7420643A" w14:textId="77777777" w:rsidR="00373003" w:rsidRDefault="00373003" w:rsidP="0037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96C4A" w14:textId="39262DEA" w:rsidR="00A652A7" w:rsidRDefault="00165586" w:rsidP="00165586">
    <w:pPr>
      <w:pStyle w:val="Intestazione"/>
      <w:rPr>
        <w:b/>
        <w:bCs/>
        <w:color w:val="C00000"/>
        <w:sz w:val="24"/>
        <w:szCs w:val="24"/>
      </w:rPr>
    </w:pPr>
    <w:r>
      <w:rPr>
        <w:noProof/>
      </w:rPr>
      <w:drawing>
        <wp:inline distT="0" distB="0" distL="0" distR="0" wp14:anchorId="18793957" wp14:editId="7D996EC8">
          <wp:extent cx="1431290" cy="437515"/>
          <wp:effectExtent l="0" t="0" r="0" b="635"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Pr="00165586">
      <w:rPr>
        <w:b/>
        <w:bCs/>
        <w:color w:val="C00000"/>
        <w:sz w:val="24"/>
        <w:szCs w:val="24"/>
      </w:rPr>
      <w:t>CONFERENZA STAMPA IMMOBILI PER L’IMPRESA 04.12.24</w:t>
    </w:r>
  </w:p>
  <w:p w14:paraId="35FD161D" w14:textId="77777777" w:rsidR="00A652A7" w:rsidRPr="0089319E" w:rsidRDefault="00A652A7" w:rsidP="00165586">
    <w:pPr>
      <w:pStyle w:val="Intestazione"/>
      <w:rPr>
        <w:b/>
        <w:bCs/>
        <w:color w:val="C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C2"/>
    <w:rsid w:val="0002432B"/>
    <w:rsid w:val="0004449E"/>
    <w:rsid w:val="000B4ED2"/>
    <w:rsid w:val="000D434A"/>
    <w:rsid w:val="000D6002"/>
    <w:rsid w:val="00121722"/>
    <w:rsid w:val="00145AD2"/>
    <w:rsid w:val="00165586"/>
    <w:rsid w:val="00167045"/>
    <w:rsid w:val="001E37B1"/>
    <w:rsid w:val="00223AE6"/>
    <w:rsid w:val="0026012E"/>
    <w:rsid w:val="002A0854"/>
    <w:rsid w:val="002A433C"/>
    <w:rsid w:val="002D6547"/>
    <w:rsid w:val="0033041C"/>
    <w:rsid w:val="00373003"/>
    <w:rsid w:val="003F5DE8"/>
    <w:rsid w:val="0041346B"/>
    <w:rsid w:val="004A530D"/>
    <w:rsid w:val="005633AD"/>
    <w:rsid w:val="00623E66"/>
    <w:rsid w:val="0066075B"/>
    <w:rsid w:val="00671F38"/>
    <w:rsid w:val="006761BD"/>
    <w:rsid w:val="0068220F"/>
    <w:rsid w:val="006A0E6F"/>
    <w:rsid w:val="00796130"/>
    <w:rsid w:val="00801CC0"/>
    <w:rsid w:val="00865ED3"/>
    <w:rsid w:val="008674A4"/>
    <w:rsid w:val="0089319E"/>
    <w:rsid w:val="008B4177"/>
    <w:rsid w:val="0090445F"/>
    <w:rsid w:val="0091149D"/>
    <w:rsid w:val="009375E6"/>
    <w:rsid w:val="00966E24"/>
    <w:rsid w:val="009E086D"/>
    <w:rsid w:val="00A652A7"/>
    <w:rsid w:val="00A670E7"/>
    <w:rsid w:val="00AE68DB"/>
    <w:rsid w:val="00BD1A80"/>
    <w:rsid w:val="00C561F6"/>
    <w:rsid w:val="00C75DBF"/>
    <w:rsid w:val="00C82EC2"/>
    <w:rsid w:val="00CB4D05"/>
    <w:rsid w:val="00D16DAB"/>
    <w:rsid w:val="00DE44DE"/>
    <w:rsid w:val="00E16A5E"/>
    <w:rsid w:val="00E61C19"/>
    <w:rsid w:val="00E942AE"/>
    <w:rsid w:val="00E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998A"/>
  <w15:docId w15:val="{B69B0777-6397-40F8-A3C1-2F92C8F9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0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30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003"/>
  </w:style>
  <w:style w:type="paragraph" w:styleId="Pidipagina">
    <w:name w:val="footer"/>
    <w:basedOn w:val="Normale"/>
    <w:link w:val="PidipaginaCarattere"/>
    <w:uiPriority w:val="99"/>
    <w:unhideWhenUsed/>
    <w:rsid w:val="003730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3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Marrazzo</dc:creator>
  <cp:keywords/>
  <dc:description/>
  <cp:lastModifiedBy>Silvia Spadini</cp:lastModifiedBy>
  <cp:revision>27</cp:revision>
  <cp:lastPrinted>2024-12-03T15:54:00Z</cp:lastPrinted>
  <dcterms:created xsi:type="dcterms:W3CDTF">2024-11-11T11:21:00Z</dcterms:created>
  <dcterms:modified xsi:type="dcterms:W3CDTF">2024-12-03T15:55:00Z</dcterms:modified>
</cp:coreProperties>
</file>