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D40B" w14:textId="5A7302FF" w:rsidR="008A7756" w:rsidRPr="00165586" w:rsidRDefault="008A7756" w:rsidP="008A7756">
      <w:pPr>
        <w:spacing w:after="0" w:line="240" w:lineRule="auto"/>
        <w:jc w:val="center"/>
        <w:rPr>
          <w:b/>
          <w:bCs/>
          <w:color w:val="C00000"/>
          <w:sz w:val="44"/>
          <w:szCs w:val="44"/>
        </w:rPr>
      </w:pPr>
      <w:r>
        <w:rPr>
          <w:b/>
          <w:bCs/>
          <w:color w:val="C00000"/>
          <w:sz w:val="44"/>
          <w:szCs w:val="44"/>
        </w:rPr>
        <w:t>MILANO</w:t>
      </w:r>
    </w:p>
    <w:p w14:paraId="44C45920" w14:textId="77777777" w:rsidR="008A7756" w:rsidRPr="00796130" w:rsidRDefault="008A7756" w:rsidP="008A7756">
      <w:pPr>
        <w:spacing w:after="0" w:line="240" w:lineRule="auto"/>
        <w:jc w:val="center"/>
        <w:rPr>
          <w:b/>
          <w:bCs/>
          <w:color w:val="C00000"/>
          <w:sz w:val="28"/>
          <w:szCs w:val="28"/>
        </w:rPr>
      </w:pPr>
      <w:r w:rsidRPr="00796130">
        <w:rPr>
          <w:b/>
          <w:bCs/>
          <w:color w:val="C00000"/>
          <w:sz w:val="28"/>
          <w:szCs w:val="28"/>
        </w:rPr>
        <w:t>IL MERCATO DEGLI IMMOBILI AD USO COMMERCIALE E INDUSTRIALE</w:t>
      </w:r>
    </w:p>
    <w:p w14:paraId="0C93796C" w14:textId="77777777" w:rsidR="008A7756" w:rsidRPr="008A7756" w:rsidRDefault="008A7756" w:rsidP="00897BAB">
      <w:pPr>
        <w:spacing w:after="0"/>
        <w:jc w:val="both"/>
        <w:rPr>
          <w:rFonts w:ascii="Calibri" w:hAnsi="Calibri" w:cs="Calibri"/>
          <w:sz w:val="24"/>
          <w:szCs w:val="24"/>
        </w:rPr>
      </w:pPr>
    </w:p>
    <w:p w14:paraId="473AB48E" w14:textId="51395457" w:rsidR="00897BAB" w:rsidRPr="008A7756" w:rsidRDefault="008A7756" w:rsidP="00897BAB">
      <w:pPr>
        <w:spacing w:after="0"/>
        <w:jc w:val="both"/>
        <w:rPr>
          <w:rFonts w:ascii="Calibri" w:hAnsi="Calibri" w:cs="Calibri"/>
          <w:sz w:val="24"/>
          <w:szCs w:val="24"/>
        </w:rPr>
      </w:pPr>
      <w:r w:rsidRPr="008A7756">
        <w:rPr>
          <w:rFonts w:ascii="Calibri" w:hAnsi="Calibri" w:cs="Calibri"/>
          <w:sz w:val="24"/>
          <w:szCs w:val="24"/>
        </w:rPr>
        <w:t>“</w:t>
      </w:r>
      <w:r w:rsidR="00897BAB" w:rsidRPr="008A7756">
        <w:rPr>
          <w:rFonts w:ascii="Calibri" w:hAnsi="Calibri" w:cs="Calibri"/>
          <w:sz w:val="24"/>
          <w:szCs w:val="24"/>
        </w:rPr>
        <w:t>Il mercato immobiliare per l’impresa a Milano</w:t>
      </w:r>
      <w:r w:rsidRPr="008A7756">
        <w:rPr>
          <w:rFonts w:ascii="Calibri" w:hAnsi="Calibri" w:cs="Calibri"/>
          <w:sz w:val="24"/>
          <w:szCs w:val="24"/>
        </w:rPr>
        <w:t xml:space="preserve"> città - afferma </w:t>
      </w:r>
      <w:r w:rsidRPr="008A7756">
        <w:rPr>
          <w:rFonts w:ascii="Calibri" w:hAnsi="Calibri" w:cs="Calibri"/>
          <w:b/>
          <w:bCs/>
          <w:sz w:val="24"/>
          <w:szCs w:val="24"/>
        </w:rPr>
        <w:t xml:space="preserve">Ermenegildo Pizzo, Consulente Gruppo Tecnocasa </w:t>
      </w:r>
      <w:r w:rsidRPr="008A7756">
        <w:rPr>
          <w:rFonts w:ascii="Calibri" w:hAnsi="Calibri" w:cs="Calibri"/>
          <w:sz w:val="24"/>
          <w:szCs w:val="24"/>
        </w:rPr>
        <w:t>-</w:t>
      </w:r>
      <w:r w:rsidR="00897BAB" w:rsidRPr="008A7756">
        <w:rPr>
          <w:rFonts w:ascii="Calibri" w:hAnsi="Calibri" w:cs="Calibri"/>
          <w:sz w:val="24"/>
          <w:szCs w:val="24"/>
        </w:rPr>
        <w:t xml:space="preserve"> città segna sia per la vendita che per la locazione </w:t>
      </w:r>
      <w:proofErr w:type="gramStart"/>
      <w:r w:rsidR="00897BAB" w:rsidRPr="008A7756">
        <w:rPr>
          <w:rFonts w:ascii="Calibri" w:hAnsi="Calibri" w:cs="Calibri"/>
          <w:sz w:val="24"/>
          <w:szCs w:val="24"/>
        </w:rPr>
        <w:t xml:space="preserve">un </w:t>
      </w:r>
      <w:r w:rsidRPr="008A7756">
        <w:rPr>
          <w:rFonts w:ascii="Calibri" w:hAnsi="Calibri" w:cs="Calibri"/>
          <w:sz w:val="24"/>
          <w:szCs w:val="24"/>
        </w:rPr>
        <w:t>trend positivo</w:t>
      </w:r>
      <w:proofErr w:type="gramEnd"/>
      <w:r w:rsidR="00897BAB" w:rsidRPr="008A7756">
        <w:rPr>
          <w:rFonts w:ascii="Calibri" w:hAnsi="Calibri" w:cs="Calibri"/>
          <w:sz w:val="24"/>
          <w:szCs w:val="24"/>
        </w:rPr>
        <w:t xml:space="preserve">.  Il comparto il più interessante mercato per volumi è quello dei </w:t>
      </w:r>
      <w:r w:rsidR="00897BAB" w:rsidRPr="008A7756">
        <w:rPr>
          <w:rFonts w:ascii="Calibri" w:hAnsi="Calibri" w:cs="Calibri"/>
          <w:b/>
          <w:bCs/>
          <w:i/>
          <w:iCs/>
          <w:sz w:val="24"/>
          <w:szCs w:val="24"/>
        </w:rPr>
        <w:t>negozi</w:t>
      </w:r>
      <w:r w:rsidR="00897BAB" w:rsidRPr="008A7756">
        <w:rPr>
          <w:rFonts w:ascii="Calibri" w:hAnsi="Calibri" w:cs="Calibri"/>
          <w:sz w:val="24"/>
          <w:szCs w:val="24"/>
        </w:rPr>
        <w:t xml:space="preserve">, che vede incrementi di valore rispetto alle rilevazioni dello scorso anno pari al 4 al 5,5 % per vie di passaggio e </w:t>
      </w:r>
      <w:proofErr w:type="gramStart"/>
      <w:r w:rsidR="00897BAB" w:rsidRPr="008A7756">
        <w:rPr>
          <w:rFonts w:ascii="Calibri" w:hAnsi="Calibri" w:cs="Calibri"/>
          <w:sz w:val="24"/>
          <w:szCs w:val="24"/>
        </w:rPr>
        <w:t>non</w:t>
      </w:r>
      <w:proofErr w:type="gramEnd"/>
      <w:r w:rsidR="00897BAB" w:rsidRPr="008A7756">
        <w:rPr>
          <w:rFonts w:ascii="Calibri" w:hAnsi="Calibri" w:cs="Calibri"/>
          <w:sz w:val="24"/>
          <w:szCs w:val="24"/>
        </w:rPr>
        <w:t xml:space="preserve">; stessa tendenza i canoni di locazione che mostrano un aumento per le posizioni più centrali. I negozi insieme ai laboratori sommano circa il 50% delle compravendite in città. </w:t>
      </w:r>
    </w:p>
    <w:p w14:paraId="19F6BAA8" w14:textId="1201083F" w:rsidR="00897BAB" w:rsidRPr="008A7756" w:rsidRDefault="00897BAB" w:rsidP="00897BAB">
      <w:pPr>
        <w:spacing w:after="0"/>
        <w:jc w:val="both"/>
        <w:rPr>
          <w:rFonts w:ascii="Calibri" w:hAnsi="Calibri" w:cs="Calibri"/>
          <w:sz w:val="24"/>
          <w:szCs w:val="24"/>
        </w:rPr>
      </w:pPr>
      <w:r w:rsidRPr="008A7756">
        <w:rPr>
          <w:rFonts w:ascii="Calibri" w:hAnsi="Calibri" w:cs="Calibri"/>
          <w:sz w:val="24"/>
          <w:szCs w:val="24"/>
        </w:rPr>
        <w:t>La ristorazione e la somministrazione prevalgono nelle richieste delle zone centrali di Milano</w:t>
      </w:r>
      <w:r w:rsidR="008A7756">
        <w:rPr>
          <w:rFonts w:ascii="Calibri" w:hAnsi="Calibri" w:cs="Calibri"/>
          <w:sz w:val="24"/>
          <w:szCs w:val="24"/>
        </w:rPr>
        <w:t>.</w:t>
      </w:r>
      <w:r w:rsidRPr="008A7756">
        <w:rPr>
          <w:rFonts w:ascii="Calibri" w:hAnsi="Calibri" w:cs="Calibri"/>
          <w:sz w:val="24"/>
          <w:szCs w:val="24"/>
        </w:rPr>
        <w:t xml:space="preserve"> I Navigli sono sempre più frequentati da turisti e la nostra rete non segnala negozi vuoti, stessa tendenza nella zona di Porta Ticinese che conta anche la richiesta di negozi di abbigliamento.</w:t>
      </w:r>
    </w:p>
    <w:p w14:paraId="5691EB79" w14:textId="674753B8" w:rsidR="005D7149" w:rsidRPr="008A7756" w:rsidRDefault="00897BAB" w:rsidP="008A7756">
      <w:pPr>
        <w:spacing w:after="0"/>
        <w:jc w:val="both"/>
        <w:rPr>
          <w:rFonts w:ascii="Calibri" w:hAnsi="Calibri" w:cs="Calibri"/>
          <w:sz w:val="24"/>
          <w:szCs w:val="24"/>
        </w:rPr>
      </w:pPr>
      <w:r w:rsidRPr="008A7756">
        <w:rPr>
          <w:rFonts w:ascii="Calibri" w:hAnsi="Calibri" w:cs="Calibri"/>
          <w:sz w:val="24"/>
          <w:szCs w:val="24"/>
        </w:rPr>
        <w:t>In crescita anche il quartiere di Porta Romana che si sta affermando come alternativa, frequentata più dai milanesi, alla più gettonata zona navigli pervasa da turisti. Vantaggio legato alle presenze di due importanti università.</w:t>
      </w:r>
      <w:r w:rsidR="005D7149" w:rsidRPr="008A7756">
        <w:rPr>
          <w:rFonts w:ascii="Calibri" w:hAnsi="Calibri" w:cs="Calibri"/>
          <w:sz w:val="24"/>
          <w:szCs w:val="24"/>
        </w:rPr>
        <w:t xml:space="preserve"> Spicca anche via Orti, una traversa di Porta Romana dove si sono insediati numerosi ristoranti. A Porta Ticinese si vende a 8500-6000 al mq, mentre si scende a 5000 nella zona di Porta Romana.</w:t>
      </w:r>
      <w:r w:rsidR="008A7756">
        <w:rPr>
          <w:rFonts w:ascii="Calibri" w:hAnsi="Calibri" w:cs="Calibri"/>
          <w:sz w:val="24"/>
          <w:szCs w:val="24"/>
        </w:rPr>
        <w:t xml:space="preserve"> </w:t>
      </w:r>
      <w:r w:rsidR="005D7149" w:rsidRPr="008A7756">
        <w:rPr>
          <w:rFonts w:ascii="Calibri" w:hAnsi="Calibri" w:cs="Calibri"/>
          <w:sz w:val="24"/>
          <w:szCs w:val="24"/>
        </w:rPr>
        <w:t xml:space="preserve">Su via Torino continua l’interesse per la ristorazione, anche da asporto e la ricerca di spazi da parte di </w:t>
      </w:r>
      <w:proofErr w:type="gramStart"/>
      <w:r w:rsidR="005D7149" w:rsidRPr="008A7756">
        <w:rPr>
          <w:rFonts w:ascii="Calibri" w:hAnsi="Calibri" w:cs="Calibri"/>
          <w:sz w:val="24"/>
          <w:szCs w:val="24"/>
        </w:rPr>
        <w:t>brand</w:t>
      </w:r>
      <w:proofErr w:type="gramEnd"/>
      <w:r w:rsidR="005D7149" w:rsidRPr="008A7756">
        <w:rPr>
          <w:rFonts w:ascii="Calibri" w:hAnsi="Calibri" w:cs="Calibri"/>
          <w:sz w:val="24"/>
          <w:szCs w:val="24"/>
        </w:rPr>
        <w:t xml:space="preserve"> di abbigliamento giovane.</w:t>
      </w:r>
      <w:r w:rsidR="00884AEC">
        <w:rPr>
          <w:rFonts w:ascii="Calibri" w:hAnsi="Calibri" w:cs="Calibri"/>
          <w:sz w:val="24"/>
          <w:szCs w:val="24"/>
        </w:rPr>
        <w:t xml:space="preserve"> </w:t>
      </w:r>
      <w:r w:rsidR="005D7149" w:rsidRPr="008A7756">
        <w:rPr>
          <w:rFonts w:ascii="Calibri" w:hAnsi="Calibri" w:cs="Calibri"/>
          <w:sz w:val="24"/>
          <w:szCs w:val="24"/>
        </w:rPr>
        <w:t xml:space="preserve">Prezzi da 6500 a 14500 € al mq, canoni da 550 a 1400 € al mq annuo. Esiste un discreto turnover soprattutto nel tratto di via Carrobbio. Chi opera nella ristorazione è sempre alla ricerca di locali “d’appeal” per pubblicarli sui social. </w:t>
      </w:r>
    </w:p>
    <w:p w14:paraId="6968BD29" w14:textId="463A6F8E" w:rsidR="00897BAB" w:rsidRPr="008A7756" w:rsidRDefault="00897BAB" w:rsidP="00897BAB">
      <w:pPr>
        <w:spacing w:after="0"/>
        <w:jc w:val="both"/>
        <w:rPr>
          <w:rFonts w:ascii="Calibri" w:hAnsi="Calibri" w:cs="Calibri"/>
          <w:sz w:val="24"/>
          <w:szCs w:val="24"/>
        </w:rPr>
      </w:pPr>
      <w:r w:rsidRPr="008A7756">
        <w:rPr>
          <w:rFonts w:ascii="Calibri" w:hAnsi="Calibri" w:cs="Calibri"/>
          <w:sz w:val="24"/>
          <w:szCs w:val="24"/>
        </w:rPr>
        <w:t>Il mercato leggermente più periferico di Dergano si qualifica sempre la ristorazione ma anche per attività di servizi persona e, in alcune vie, sta prevalendo la presenza di attività artigianali</w:t>
      </w:r>
      <w:r w:rsidR="008A7756">
        <w:rPr>
          <w:rFonts w:ascii="Calibri" w:hAnsi="Calibri" w:cs="Calibri"/>
          <w:sz w:val="24"/>
          <w:szCs w:val="24"/>
        </w:rPr>
        <w:t>.</w:t>
      </w:r>
    </w:p>
    <w:p w14:paraId="722DBF2F" w14:textId="77777777" w:rsidR="00897BAB" w:rsidRPr="008A7756" w:rsidRDefault="00897BAB" w:rsidP="00897BAB">
      <w:pPr>
        <w:spacing w:after="0"/>
        <w:jc w:val="both"/>
        <w:rPr>
          <w:rFonts w:ascii="Calibri" w:hAnsi="Calibri" w:cs="Calibri"/>
          <w:sz w:val="24"/>
          <w:szCs w:val="24"/>
        </w:rPr>
      </w:pPr>
      <w:r w:rsidRPr="008A7756">
        <w:rPr>
          <w:rFonts w:ascii="Calibri" w:hAnsi="Calibri" w:cs="Calibri"/>
          <w:sz w:val="24"/>
          <w:szCs w:val="24"/>
        </w:rPr>
        <w:t xml:space="preserve">La Bovisa, con la spinta dell’università del politecnico, trascina un mercato a prezzi più competitivi per la ristorazione e i volumi sono ottimi. </w:t>
      </w:r>
    </w:p>
    <w:p w14:paraId="600C607D" w14:textId="77777777" w:rsidR="00897BAB" w:rsidRPr="008A7756" w:rsidRDefault="00897BAB" w:rsidP="00897BAB">
      <w:pPr>
        <w:spacing w:after="0"/>
        <w:jc w:val="both"/>
        <w:rPr>
          <w:rFonts w:ascii="Calibri" w:hAnsi="Calibri" w:cs="Calibri"/>
          <w:sz w:val="24"/>
          <w:szCs w:val="24"/>
        </w:rPr>
      </w:pPr>
      <w:r w:rsidRPr="008A7756">
        <w:rPr>
          <w:rFonts w:ascii="Calibri" w:hAnsi="Calibri" w:cs="Calibri"/>
          <w:sz w:val="24"/>
          <w:szCs w:val="24"/>
        </w:rPr>
        <w:t>Nella zona sud-orientale si cercano prevalentemente negozi da acquistare per la buona redditività, chi apre un’attività commerciale si orienta nelle aree di forte passaggio pedonale e veicolare come viale Corsica, viale Montenero, corso di Porta Romana e corso Lodi.</w:t>
      </w:r>
    </w:p>
    <w:p w14:paraId="5461519C" w14:textId="4B0D8580" w:rsidR="00897BAB" w:rsidRPr="008A7756" w:rsidRDefault="00897BAB" w:rsidP="00897BAB">
      <w:pPr>
        <w:spacing w:after="0"/>
        <w:jc w:val="both"/>
        <w:rPr>
          <w:rFonts w:ascii="Calibri" w:hAnsi="Calibri" w:cs="Calibri"/>
          <w:sz w:val="24"/>
          <w:szCs w:val="24"/>
        </w:rPr>
      </w:pPr>
      <w:r w:rsidRPr="008A7756">
        <w:rPr>
          <w:rFonts w:ascii="Calibri" w:hAnsi="Calibri" w:cs="Calibri"/>
          <w:sz w:val="24"/>
          <w:szCs w:val="24"/>
        </w:rPr>
        <w:t>L’area ovest si conferma la zona più apprezzata su molte vie come corso Vercelli via Belfiore difficilmente si liberano posizioni, mentre nella zona di via Marghera, Ravizza e Sanzio si segnala più turnover</w:t>
      </w:r>
      <w:r w:rsidR="008A7756">
        <w:rPr>
          <w:rFonts w:ascii="Calibri" w:hAnsi="Calibri" w:cs="Calibri"/>
          <w:sz w:val="24"/>
          <w:szCs w:val="24"/>
        </w:rPr>
        <w:t xml:space="preserve">. </w:t>
      </w:r>
      <w:r w:rsidRPr="008A7756">
        <w:rPr>
          <w:rFonts w:ascii="Calibri" w:hAnsi="Calibri" w:cs="Calibri"/>
          <w:sz w:val="24"/>
          <w:szCs w:val="24"/>
        </w:rPr>
        <w:t>Sull’acquisto la zona ovest la fa da padrona con prezzi al metro quadrato attorno ai 10.000 euro al mq</w:t>
      </w:r>
      <w:r w:rsidR="005D7149" w:rsidRPr="008A7756">
        <w:rPr>
          <w:rFonts w:ascii="Calibri" w:hAnsi="Calibri" w:cs="Calibri"/>
          <w:sz w:val="24"/>
          <w:szCs w:val="24"/>
        </w:rPr>
        <w:t xml:space="preserve">. </w:t>
      </w:r>
    </w:p>
    <w:p w14:paraId="5EEA6BF8" w14:textId="4AD68300" w:rsidR="00897BAB" w:rsidRPr="008A7756" w:rsidRDefault="00897BAB" w:rsidP="00897BAB">
      <w:pPr>
        <w:spacing w:after="0"/>
        <w:jc w:val="both"/>
        <w:rPr>
          <w:rFonts w:ascii="Calibri" w:hAnsi="Calibri" w:cs="Calibri"/>
          <w:sz w:val="24"/>
          <w:szCs w:val="24"/>
        </w:rPr>
      </w:pPr>
      <w:r w:rsidRPr="008A7756">
        <w:rPr>
          <w:rFonts w:ascii="Calibri" w:hAnsi="Calibri" w:cs="Calibri"/>
          <w:sz w:val="24"/>
          <w:szCs w:val="24"/>
        </w:rPr>
        <w:t>Stessa logica segue il mercato delle locazioni con valori massimi di 700/1200 euro al mq per la zona ovest nelle vie più belle (</w:t>
      </w:r>
      <w:r w:rsidR="00CC136A" w:rsidRPr="008A7756">
        <w:rPr>
          <w:rFonts w:ascii="Calibri" w:hAnsi="Calibri" w:cs="Calibri"/>
          <w:sz w:val="24"/>
          <w:szCs w:val="24"/>
        </w:rPr>
        <w:t xml:space="preserve">via </w:t>
      </w:r>
      <w:r w:rsidR="008A7756">
        <w:rPr>
          <w:rFonts w:ascii="Calibri" w:hAnsi="Calibri" w:cs="Calibri"/>
          <w:sz w:val="24"/>
          <w:szCs w:val="24"/>
        </w:rPr>
        <w:t>V</w:t>
      </w:r>
      <w:r w:rsidR="00CC136A" w:rsidRPr="008A7756">
        <w:rPr>
          <w:rFonts w:ascii="Calibri" w:hAnsi="Calibri" w:cs="Calibri"/>
          <w:sz w:val="24"/>
          <w:szCs w:val="24"/>
        </w:rPr>
        <w:t>ercelli</w:t>
      </w:r>
      <w:r w:rsidR="008A7756">
        <w:rPr>
          <w:rFonts w:ascii="Calibri" w:hAnsi="Calibri" w:cs="Calibri"/>
          <w:sz w:val="24"/>
          <w:szCs w:val="24"/>
        </w:rPr>
        <w:t>,</w:t>
      </w:r>
      <w:r w:rsidR="00CC136A" w:rsidRPr="008A7756">
        <w:rPr>
          <w:rFonts w:ascii="Calibri" w:hAnsi="Calibri" w:cs="Calibri"/>
          <w:sz w:val="24"/>
          <w:szCs w:val="24"/>
        </w:rPr>
        <w:t xml:space="preserve"> via </w:t>
      </w:r>
      <w:r w:rsidR="008A7756">
        <w:rPr>
          <w:rFonts w:ascii="Calibri" w:hAnsi="Calibri" w:cs="Calibri"/>
          <w:sz w:val="24"/>
          <w:szCs w:val="24"/>
        </w:rPr>
        <w:t>B</w:t>
      </w:r>
      <w:r w:rsidR="00CC136A" w:rsidRPr="008A7756">
        <w:rPr>
          <w:rFonts w:ascii="Calibri" w:hAnsi="Calibri" w:cs="Calibri"/>
          <w:sz w:val="24"/>
          <w:szCs w:val="24"/>
        </w:rPr>
        <w:t>elfiore</w:t>
      </w:r>
      <w:r w:rsidRPr="008A7756">
        <w:rPr>
          <w:rFonts w:ascii="Calibri" w:hAnsi="Calibri" w:cs="Calibri"/>
          <w:sz w:val="24"/>
          <w:szCs w:val="24"/>
        </w:rPr>
        <w:t>),</w:t>
      </w:r>
      <w:r w:rsidR="008A7756">
        <w:rPr>
          <w:rFonts w:ascii="Calibri" w:hAnsi="Calibri" w:cs="Calibri"/>
          <w:sz w:val="24"/>
          <w:szCs w:val="24"/>
        </w:rPr>
        <w:t xml:space="preserve"> </w:t>
      </w:r>
      <w:r w:rsidRPr="008A7756">
        <w:rPr>
          <w:rFonts w:ascii="Calibri" w:hAnsi="Calibri" w:cs="Calibri"/>
          <w:sz w:val="24"/>
          <w:szCs w:val="24"/>
        </w:rPr>
        <w:t>700 € mq l’anno nelle zone più turistiche (</w:t>
      </w:r>
      <w:r w:rsidR="008A7756">
        <w:rPr>
          <w:rFonts w:ascii="Calibri" w:hAnsi="Calibri" w:cs="Calibri"/>
          <w:sz w:val="24"/>
          <w:szCs w:val="24"/>
        </w:rPr>
        <w:t>come T</w:t>
      </w:r>
      <w:r w:rsidRPr="008A7756">
        <w:rPr>
          <w:rFonts w:ascii="Calibri" w:hAnsi="Calibri" w:cs="Calibri"/>
          <w:sz w:val="24"/>
          <w:szCs w:val="24"/>
        </w:rPr>
        <w:t xml:space="preserve">icinese) e 600 al mq nella zona di </w:t>
      </w:r>
      <w:r w:rsidR="008A7756">
        <w:rPr>
          <w:rFonts w:ascii="Calibri" w:hAnsi="Calibri" w:cs="Calibri"/>
          <w:sz w:val="24"/>
          <w:szCs w:val="24"/>
        </w:rPr>
        <w:t>P</w:t>
      </w:r>
      <w:r w:rsidRPr="008A7756">
        <w:rPr>
          <w:rFonts w:ascii="Calibri" w:hAnsi="Calibri" w:cs="Calibri"/>
          <w:sz w:val="24"/>
          <w:szCs w:val="24"/>
        </w:rPr>
        <w:t xml:space="preserve">orta </w:t>
      </w:r>
      <w:r w:rsidR="008A7756">
        <w:rPr>
          <w:rFonts w:ascii="Calibri" w:hAnsi="Calibri" w:cs="Calibri"/>
          <w:sz w:val="24"/>
          <w:szCs w:val="24"/>
        </w:rPr>
        <w:t>R</w:t>
      </w:r>
      <w:r w:rsidRPr="008A7756">
        <w:rPr>
          <w:rFonts w:ascii="Calibri" w:hAnsi="Calibri" w:cs="Calibri"/>
          <w:sz w:val="24"/>
          <w:szCs w:val="24"/>
        </w:rPr>
        <w:t>omana</w:t>
      </w:r>
      <w:r w:rsidR="008A7756">
        <w:rPr>
          <w:rFonts w:ascii="Calibri" w:hAnsi="Calibri" w:cs="Calibri"/>
          <w:sz w:val="24"/>
          <w:szCs w:val="24"/>
        </w:rPr>
        <w:t>.</w:t>
      </w:r>
    </w:p>
    <w:p w14:paraId="5702A3AA" w14:textId="4F5F0D56" w:rsidR="00897BAB" w:rsidRPr="008A7756" w:rsidRDefault="00897BAB" w:rsidP="00897BAB">
      <w:pPr>
        <w:spacing w:after="0"/>
        <w:jc w:val="both"/>
        <w:rPr>
          <w:rFonts w:ascii="Calibri" w:hAnsi="Calibri" w:cs="Calibri"/>
          <w:sz w:val="24"/>
          <w:szCs w:val="24"/>
        </w:rPr>
      </w:pPr>
      <w:r w:rsidRPr="008A7756">
        <w:rPr>
          <w:rFonts w:ascii="Calibri" w:hAnsi="Calibri" w:cs="Calibri"/>
          <w:sz w:val="24"/>
          <w:szCs w:val="24"/>
        </w:rPr>
        <w:t>Occorrerà capire le future tendenze in alcune zone, un provvedimento di salvaguardia ha definito una nuova disciplina per le attività di somministrazione di alimenti e bevande nonché la vendita di prodotti alimentari, l’obiettivo sembrerebbe mirare alla minor concentrazione di molteplici esercizi commerciali della cosiddetta movida dove l’afflusso di avventori risulta particolarmente intenso</w:t>
      </w:r>
      <w:r w:rsidR="008A7756">
        <w:rPr>
          <w:rFonts w:ascii="Calibri" w:hAnsi="Calibri" w:cs="Calibri"/>
          <w:sz w:val="24"/>
          <w:szCs w:val="24"/>
        </w:rPr>
        <w:t>.</w:t>
      </w:r>
    </w:p>
    <w:p w14:paraId="1B4D9889" w14:textId="77777777" w:rsidR="00897BAB" w:rsidRPr="008A7756" w:rsidRDefault="00897BAB" w:rsidP="00897BAB">
      <w:pPr>
        <w:spacing w:after="0"/>
        <w:jc w:val="both"/>
        <w:rPr>
          <w:rFonts w:ascii="Calibri" w:hAnsi="Calibri" w:cs="Calibri"/>
          <w:sz w:val="24"/>
          <w:szCs w:val="24"/>
        </w:rPr>
      </w:pPr>
    </w:p>
    <w:p w14:paraId="0AE18934" w14:textId="39EA1DE0" w:rsidR="00897BAB" w:rsidRPr="008A7756" w:rsidRDefault="00897BAB" w:rsidP="00897BAB">
      <w:pPr>
        <w:spacing w:after="0"/>
        <w:jc w:val="both"/>
        <w:rPr>
          <w:rFonts w:ascii="Calibri" w:hAnsi="Calibri" w:cs="Calibri"/>
          <w:sz w:val="24"/>
          <w:szCs w:val="24"/>
        </w:rPr>
      </w:pPr>
      <w:r w:rsidRPr="008A7756">
        <w:rPr>
          <w:rFonts w:ascii="Calibri" w:hAnsi="Calibri" w:cs="Calibri"/>
          <w:sz w:val="24"/>
          <w:szCs w:val="24"/>
        </w:rPr>
        <w:t xml:space="preserve">Quello degli </w:t>
      </w:r>
      <w:r w:rsidR="008A7756" w:rsidRPr="008A7756">
        <w:rPr>
          <w:rFonts w:ascii="Calibri" w:hAnsi="Calibri" w:cs="Calibri"/>
          <w:b/>
          <w:bCs/>
          <w:i/>
          <w:iCs/>
          <w:sz w:val="24"/>
          <w:szCs w:val="24"/>
        </w:rPr>
        <w:t>u</w:t>
      </w:r>
      <w:r w:rsidRPr="008A7756">
        <w:rPr>
          <w:rFonts w:ascii="Calibri" w:hAnsi="Calibri" w:cs="Calibri"/>
          <w:b/>
          <w:bCs/>
          <w:i/>
          <w:iCs/>
          <w:sz w:val="24"/>
          <w:szCs w:val="24"/>
        </w:rPr>
        <w:t>ffici</w:t>
      </w:r>
      <w:r w:rsidRPr="008A7756">
        <w:rPr>
          <w:rFonts w:ascii="Calibri" w:hAnsi="Calibri" w:cs="Calibri"/>
          <w:sz w:val="24"/>
          <w:szCs w:val="24"/>
        </w:rPr>
        <w:t xml:space="preserve"> è l’altro segmento immobiliare che trascina il mercato con circa il 25%. Milano si attesta in prima posizione tra le città d’Italia in termini percentuali, frutto anche di un crescente avanzamento del settore terziario.  Da rimarcare che Milano e la sede dove si concentrano numerosi interventi di nuova costruzione che ospiteranno le sedi di importanti aziende. </w:t>
      </w:r>
    </w:p>
    <w:p w14:paraId="095943AB" w14:textId="77777777" w:rsidR="00897BAB" w:rsidRPr="008A7756" w:rsidRDefault="00897BAB" w:rsidP="00897BAB">
      <w:pPr>
        <w:spacing w:after="0"/>
        <w:jc w:val="both"/>
        <w:rPr>
          <w:rFonts w:ascii="Calibri" w:hAnsi="Calibri" w:cs="Calibri"/>
          <w:sz w:val="24"/>
          <w:szCs w:val="24"/>
        </w:rPr>
      </w:pPr>
      <w:r w:rsidRPr="008A7756">
        <w:rPr>
          <w:rFonts w:ascii="Calibri" w:hAnsi="Calibri" w:cs="Calibri"/>
          <w:sz w:val="24"/>
          <w:szCs w:val="24"/>
        </w:rPr>
        <w:lastRenderedPageBreak/>
        <w:t xml:space="preserve">Edifici tutti caratterizzati da un’alta attenzione alla sostenibilità ambientale ed energetica, alla riorganizzazione di spazi in modo tale da facilitare le interazioni tra chi li vive.  </w:t>
      </w:r>
    </w:p>
    <w:p w14:paraId="65E27F3D" w14:textId="6588F184" w:rsidR="00897BAB" w:rsidRPr="008A7756" w:rsidRDefault="00897BAB" w:rsidP="00897BAB">
      <w:pPr>
        <w:spacing w:after="0"/>
        <w:jc w:val="both"/>
        <w:rPr>
          <w:rFonts w:ascii="Calibri" w:hAnsi="Calibri" w:cs="Calibri"/>
          <w:sz w:val="24"/>
          <w:szCs w:val="24"/>
        </w:rPr>
      </w:pPr>
      <w:r w:rsidRPr="008A7756">
        <w:rPr>
          <w:rFonts w:ascii="Calibri" w:hAnsi="Calibri" w:cs="Calibri"/>
          <w:sz w:val="24"/>
          <w:szCs w:val="24"/>
        </w:rPr>
        <w:t xml:space="preserve">Vivace anche la domanda di professionisti della finanza e di studi legali alla ricerca di soluzioni di rappresentanza. Prediligono le posizioni presso la metropolitana. </w:t>
      </w:r>
    </w:p>
    <w:p w14:paraId="3D383D3F" w14:textId="77777777" w:rsidR="00897BAB" w:rsidRPr="008A7756" w:rsidRDefault="00897BAB" w:rsidP="00D9306C">
      <w:pPr>
        <w:spacing w:after="0"/>
        <w:jc w:val="both"/>
        <w:rPr>
          <w:rFonts w:ascii="Calibri" w:hAnsi="Calibri" w:cs="Calibri"/>
          <w:sz w:val="24"/>
          <w:szCs w:val="24"/>
        </w:rPr>
      </w:pPr>
    </w:p>
    <w:p w14:paraId="31927DEB" w14:textId="5D50D4E9" w:rsidR="00897BAB" w:rsidRPr="008A7756" w:rsidRDefault="00897BAB" w:rsidP="00D9306C">
      <w:pPr>
        <w:spacing w:line="278" w:lineRule="auto"/>
        <w:jc w:val="both"/>
        <w:rPr>
          <w:rFonts w:ascii="Calibri" w:eastAsia="Times New Roman" w:hAnsi="Calibri" w:cs="Calibri"/>
          <w:sz w:val="24"/>
          <w:szCs w:val="24"/>
          <w:lang w:eastAsia="it-IT"/>
        </w:rPr>
      </w:pPr>
      <w:r w:rsidRPr="008A7756">
        <w:rPr>
          <w:rFonts w:ascii="Calibri" w:hAnsi="Calibri" w:cs="Calibri"/>
          <w:kern w:val="2"/>
          <w:sz w:val="24"/>
          <w:szCs w:val="24"/>
          <w14:ligatures w14:val="standardContextual"/>
        </w:rPr>
        <w:t xml:space="preserve">Spostandoci in </w:t>
      </w:r>
      <w:r w:rsidRPr="008A7756">
        <w:rPr>
          <w:rFonts w:ascii="Calibri" w:hAnsi="Calibri" w:cs="Calibri"/>
          <w:b/>
          <w:bCs/>
          <w:i/>
          <w:iCs/>
          <w:kern w:val="2"/>
          <w:sz w:val="24"/>
          <w:szCs w:val="24"/>
          <w14:ligatures w14:val="standardContextual"/>
        </w:rPr>
        <w:t>provincia</w:t>
      </w:r>
      <w:r w:rsidRPr="008A7756">
        <w:rPr>
          <w:rFonts w:ascii="Calibri" w:hAnsi="Calibri" w:cs="Calibri"/>
          <w:kern w:val="2"/>
          <w:sz w:val="24"/>
          <w:szCs w:val="24"/>
          <w14:ligatures w14:val="standardContextual"/>
        </w:rPr>
        <w:t>, il settore retail è dinamico e in continua evoluzione, fortemente influenzato da diversi fattori, tra cui, la trasformazione del commercio, come la continua crescita dell'e-commerce e i cambiamenti nelle abitudini di consumo stanno modificando il volto del retail tradizionale. l’espansione urbana e la gentrificazione</w:t>
      </w:r>
      <w:r w:rsidR="00D9306C" w:rsidRPr="008A7756">
        <w:rPr>
          <w:rFonts w:ascii="Calibri" w:hAnsi="Calibri" w:cs="Calibri"/>
          <w:kern w:val="2"/>
          <w:sz w:val="24"/>
          <w:szCs w:val="24"/>
          <w14:ligatures w14:val="standardContextual"/>
        </w:rPr>
        <w:t xml:space="preserve"> </w:t>
      </w:r>
      <w:r w:rsidRPr="008A7756">
        <w:rPr>
          <w:rFonts w:ascii="Calibri" w:hAnsi="Calibri" w:cs="Calibri"/>
          <w:kern w:val="2"/>
          <w:sz w:val="24"/>
          <w:szCs w:val="24"/>
          <w14:ligatures w14:val="standardContextual"/>
        </w:rPr>
        <w:t>di alcune zone stanno influenzando la domanda di spazi commerciali, con una crescente richiesta di negozi di nicchia, servizi e attività di ristorazione</w:t>
      </w:r>
      <w:r w:rsidR="008A7756">
        <w:rPr>
          <w:rFonts w:ascii="Calibri" w:hAnsi="Calibri" w:cs="Calibri"/>
          <w:kern w:val="2"/>
          <w:sz w:val="24"/>
          <w:szCs w:val="24"/>
          <w14:ligatures w14:val="standardContextual"/>
        </w:rPr>
        <w:t>”.</w:t>
      </w:r>
    </w:p>
    <w:p w14:paraId="5BF566A7" w14:textId="77777777" w:rsidR="00897BAB" w:rsidRPr="008A7756" w:rsidRDefault="00897BAB" w:rsidP="00897BAB">
      <w:pPr>
        <w:spacing w:line="278" w:lineRule="auto"/>
        <w:rPr>
          <w:rFonts w:ascii="Calibri" w:eastAsia="Times New Roman" w:hAnsi="Calibri" w:cs="Calibri"/>
          <w:sz w:val="24"/>
          <w:szCs w:val="24"/>
          <w:lang w:eastAsia="it-IT"/>
        </w:rPr>
      </w:pPr>
    </w:p>
    <w:p w14:paraId="16D10FC2" w14:textId="27A5F46D" w:rsidR="008A7756" w:rsidRDefault="008A7756" w:rsidP="008A7756">
      <w:pPr>
        <w:spacing w:after="0" w:line="240" w:lineRule="auto"/>
        <w:jc w:val="center"/>
        <w:rPr>
          <w:b/>
          <w:bCs/>
          <w:color w:val="C00000"/>
          <w:sz w:val="28"/>
          <w:szCs w:val="28"/>
        </w:rPr>
      </w:pPr>
      <w:proofErr w:type="gramStart"/>
      <w:r w:rsidRPr="00373003">
        <w:rPr>
          <w:b/>
          <w:bCs/>
          <w:color w:val="C00000"/>
          <w:sz w:val="28"/>
          <w:szCs w:val="28"/>
        </w:rPr>
        <w:t>TREND</w:t>
      </w:r>
      <w:proofErr w:type="gramEnd"/>
      <w:r w:rsidRPr="00373003">
        <w:rPr>
          <w:b/>
          <w:bCs/>
          <w:color w:val="C00000"/>
          <w:sz w:val="28"/>
          <w:szCs w:val="28"/>
        </w:rPr>
        <w:t xml:space="preserve"> PREZZI E LOCAZIONI IMMOBILI PER L’IMPRESA </w:t>
      </w:r>
      <w:r>
        <w:rPr>
          <w:b/>
          <w:bCs/>
          <w:color w:val="C00000"/>
          <w:sz w:val="28"/>
          <w:szCs w:val="28"/>
        </w:rPr>
        <w:t>-</w:t>
      </w:r>
      <w:r w:rsidRPr="00373003">
        <w:rPr>
          <w:b/>
          <w:bCs/>
          <w:color w:val="C00000"/>
          <w:sz w:val="28"/>
          <w:szCs w:val="28"/>
        </w:rPr>
        <w:t xml:space="preserve"> </w:t>
      </w:r>
      <w:r>
        <w:rPr>
          <w:b/>
          <w:bCs/>
          <w:color w:val="C00000"/>
          <w:sz w:val="28"/>
          <w:szCs w:val="28"/>
        </w:rPr>
        <w:t>MILANO</w:t>
      </w:r>
      <w:r w:rsidRPr="00373003">
        <w:rPr>
          <w:b/>
          <w:bCs/>
          <w:color w:val="C00000"/>
          <w:sz w:val="28"/>
          <w:szCs w:val="28"/>
        </w:rPr>
        <w:t xml:space="preserve"> CITTA’</w:t>
      </w:r>
    </w:p>
    <w:p w14:paraId="6D56404B" w14:textId="77777777" w:rsidR="008A7756" w:rsidRPr="00373003" w:rsidRDefault="008A7756" w:rsidP="008A7756">
      <w:pPr>
        <w:spacing w:after="0" w:line="240" w:lineRule="auto"/>
        <w:jc w:val="center"/>
        <w:rPr>
          <w:b/>
          <w:bCs/>
          <w:color w:val="C00000"/>
          <w:sz w:val="28"/>
          <w:szCs w:val="28"/>
        </w:rPr>
      </w:pPr>
      <w:r>
        <w:rPr>
          <w:b/>
          <w:bCs/>
          <w:color w:val="C00000"/>
          <w:sz w:val="28"/>
          <w:szCs w:val="28"/>
        </w:rPr>
        <w:t xml:space="preserve">(variazioni percentuali I </w:t>
      </w:r>
      <w:proofErr w:type="spellStart"/>
      <w:r>
        <w:rPr>
          <w:b/>
          <w:bCs/>
          <w:color w:val="C00000"/>
          <w:sz w:val="28"/>
          <w:szCs w:val="28"/>
        </w:rPr>
        <w:t>sem</w:t>
      </w:r>
      <w:proofErr w:type="spellEnd"/>
      <w:r>
        <w:rPr>
          <w:b/>
          <w:bCs/>
          <w:color w:val="C00000"/>
          <w:sz w:val="28"/>
          <w:szCs w:val="28"/>
        </w:rPr>
        <w:t xml:space="preserve"> 24 rispetto al II </w:t>
      </w:r>
      <w:proofErr w:type="spellStart"/>
      <w:r>
        <w:rPr>
          <w:b/>
          <w:bCs/>
          <w:color w:val="C00000"/>
          <w:sz w:val="28"/>
          <w:szCs w:val="28"/>
        </w:rPr>
        <w:t>sem</w:t>
      </w:r>
      <w:proofErr w:type="spellEnd"/>
      <w:r>
        <w:rPr>
          <w:b/>
          <w:bCs/>
          <w:color w:val="C00000"/>
          <w:sz w:val="28"/>
          <w:szCs w:val="28"/>
        </w:rPr>
        <w:t xml:space="preserve"> 23)</w:t>
      </w:r>
    </w:p>
    <w:p w14:paraId="134B69D0" w14:textId="77777777" w:rsidR="00897BAB" w:rsidRDefault="00897BAB" w:rsidP="00897BAB">
      <w:pPr>
        <w:spacing w:line="278" w:lineRule="auto"/>
        <w:rPr>
          <w:rFonts w:eastAsia="Times New Roman" w:cs="Times New Roman"/>
          <w:b/>
          <w:bCs/>
          <w:lang w:eastAsia="it-IT"/>
        </w:rPr>
      </w:pPr>
    </w:p>
    <w:p w14:paraId="55FEDB3A" w14:textId="77777777" w:rsidR="008A7756" w:rsidRPr="008A7756" w:rsidRDefault="008A7756" w:rsidP="00884AEC">
      <w:pPr>
        <w:spacing w:after="0"/>
        <w:jc w:val="both"/>
        <w:rPr>
          <w:rFonts w:eastAsia="Calibri" w:cs="Times New Roman"/>
          <w:b/>
          <w:bCs/>
          <w:color w:val="C00000"/>
        </w:rPr>
      </w:pPr>
      <w:r w:rsidRPr="008A7756">
        <w:rPr>
          <w:b/>
          <w:bCs/>
          <w:color w:val="C00000"/>
        </w:rPr>
        <w:t>CAPANNONI</w:t>
      </w:r>
    </w:p>
    <w:tbl>
      <w:tblPr>
        <w:tblW w:w="9796" w:type="dxa"/>
        <w:tblInd w:w="55" w:type="dxa"/>
        <w:tblCellMar>
          <w:left w:w="70" w:type="dxa"/>
          <w:right w:w="70" w:type="dxa"/>
        </w:tblCellMar>
        <w:tblLook w:val="04A0" w:firstRow="1" w:lastRow="0" w:firstColumn="1" w:lastColumn="0" w:noHBand="0" w:noVBand="1"/>
      </w:tblPr>
      <w:tblGrid>
        <w:gridCol w:w="1940"/>
        <w:gridCol w:w="2020"/>
        <w:gridCol w:w="2200"/>
        <w:gridCol w:w="1940"/>
        <w:gridCol w:w="1696"/>
      </w:tblGrid>
      <w:tr w:rsidR="008A7756" w14:paraId="58CF546F" w14:textId="77777777" w:rsidTr="00B6592C">
        <w:trPr>
          <w:gridBefore w:val="1"/>
          <w:wBefore w:w="1940" w:type="dxa"/>
          <w:trHeight w:val="300"/>
        </w:trPr>
        <w:tc>
          <w:tcPr>
            <w:tcW w:w="2020" w:type="dxa"/>
            <w:tcBorders>
              <w:top w:val="single" w:sz="4" w:space="0" w:color="auto"/>
              <w:left w:val="single" w:sz="4" w:space="0" w:color="auto"/>
              <w:bottom w:val="single" w:sz="4" w:space="0" w:color="auto"/>
              <w:right w:val="single" w:sz="4" w:space="0" w:color="auto"/>
            </w:tcBorders>
            <w:noWrap/>
            <w:vAlign w:val="bottom"/>
          </w:tcPr>
          <w:p w14:paraId="037422C1" w14:textId="04B513E7" w:rsidR="008A7756" w:rsidRDefault="008A7756" w:rsidP="00884AEC">
            <w:pPr>
              <w:spacing w:after="0" w:line="240" w:lineRule="auto"/>
              <w:rPr>
                <w:rFonts w:eastAsia="Times New Roman" w:cs="Times New Roman"/>
                <w:b/>
                <w:bCs/>
                <w:lang w:eastAsia="it-IT"/>
              </w:rPr>
            </w:pPr>
            <w:r>
              <w:rPr>
                <w:rFonts w:eastAsia="Times New Roman" w:cs="Times New Roman"/>
                <w:b/>
                <w:bCs/>
                <w:lang w:eastAsia="it-IT"/>
              </w:rPr>
              <w:t>Nuovo vicino alle arterie di comunicazione</w:t>
            </w:r>
          </w:p>
        </w:tc>
        <w:tc>
          <w:tcPr>
            <w:tcW w:w="2200" w:type="dxa"/>
            <w:tcBorders>
              <w:top w:val="single" w:sz="4" w:space="0" w:color="auto"/>
              <w:left w:val="nil"/>
              <w:bottom w:val="single" w:sz="4" w:space="0" w:color="auto"/>
              <w:right w:val="single" w:sz="4" w:space="0" w:color="auto"/>
            </w:tcBorders>
            <w:noWrap/>
            <w:vAlign w:val="bottom"/>
            <w:hideMark/>
          </w:tcPr>
          <w:p w14:paraId="1965F9E4" w14:textId="77777777" w:rsidR="008A7756" w:rsidRDefault="008A7756" w:rsidP="00884AEC">
            <w:pPr>
              <w:spacing w:after="0" w:line="240" w:lineRule="auto"/>
              <w:rPr>
                <w:rFonts w:eastAsia="Times New Roman" w:cs="Times New Roman"/>
                <w:b/>
                <w:bCs/>
                <w:lang w:eastAsia="it-IT"/>
              </w:rPr>
            </w:pPr>
            <w:r>
              <w:rPr>
                <w:rFonts w:eastAsia="Times New Roman" w:cs="Times New Roman"/>
                <w:b/>
                <w:bCs/>
                <w:lang w:eastAsia="it-IT"/>
              </w:rPr>
              <w:t>Nuovo lontano dalle arterie di comunicazione</w:t>
            </w:r>
          </w:p>
        </w:tc>
        <w:tc>
          <w:tcPr>
            <w:tcW w:w="1940" w:type="dxa"/>
            <w:tcBorders>
              <w:top w:val="single" w:sz="4" w:space="0" w:color="auto"/>
              <w:left w:val="nil"/>
              <w:bottom w:val="single" w:sz="4" w:space="0" w:color="auto"/>
              <w:right w:val="single" w:sz="4" w:space="0" w:color="auto"/>
            </w:tcBorders>
            <w:noWrap/>
            <w:vAlign w:val="bottom"/>
            <w:hideMark/>
          </w:tcPr>
          <w:p w14:paraId="78306702" w14:textId="77777777" w:rsidR="008A7756" w:rsidRDefault="008A7756" w:rsidP="00884AEC">
            <w:pPr>
              <w:spacing w:after="0" w:line="240" w:lineRule="auto"/>
              <w:rPr>
                <w:rFonts w:eastAsia="Times New Roman" w:cs="Times New Roman"/>
                <w:b/>
                <w:bCs/>
                <w:lang w:eastAsia="it-IT"/>
              </w:rPr>
            </w:pPr>
            <w:r>
              <w:rPr>
                <w:rFonts w:eastAsia="Times New Roman" w:cs="Times New Roman"/>
                <w:b/>
                <w:bCs/>
                <w:lang w:eastAsia="it-IT"/>
              </w:rPr>
              <w:t xml:space="preserve">Usato vicino alle arterie di comunicazione </w:t>
            </w:r>
          </w:p>
        </w:tc>
        <w:tc>
          <w:tcPr>
            <w:tcW w:w="1696" w:type="dxa"/>
            <w:tcBorders>
              <w:top w:val="single" w:sz="4" w:space="0" w:color="auto"/>
              <w:left w:val="nil"/>
              <w:bottom w:val="single" w:sz="4" w:space="0" w:color="auto"/>
              <w:right w:val="single" w:sz="4" w:space="0" w:color="auto"/>
            </w:tcBorders>
            <w:noWrap/>
            <w:vAlign w:val="bottom"/>
            <w:hideMark/>
          </w:tcPr>
          <w:p w14:paraId="73ECA6FE" w14:textId="31C93938" w:rsidR="008A7756" w:rsidRDefault="008A7756" w:rsidP="00884AEC">
            <w:pPr>
              <w:spacing w:after="0" w:line="240" w:lineRule="auto"/>
              <w:rPr>
                <w:rFonts w:eastAsia="Times New Roman" w:cs="Times New Roman"/>
                <w:b/>
                <w:bCs/>
                <w:lang w:eastAsia="it-IT"/>
              </w:rPr>
            </w:pPr>
            <w:r>
              <w:rPr>
                <w:rFonts w:eastAsia="Times New Roman" w:cs="Times New Roman"/>
                <w:b/>
                <w:bCs/>
                <w:lang w:eastAsia="it-IT"/>
              </w:rPr>
              <w:t>Usato lontano dalle arterie di comunicazione</w:t>
            </w:r>
          </w:p>
        </w:tc>
      </w:tr>
      <w:tr w:rsidR="008A7756" w14:paraId="7DC2105E" w14:textId="77777777" w:rsidTr="00B6592C">
        <w:trPr>
          <w:trHeight w:val="300"/>
        </w:trPr>
        <w:tc>
          <w:tcPr>
            <w:tcW w:w="1940" w:type="dxa"/>
            <w:tcBorders>
              <w:top w:val="single" w:sz="4" w:space="0" w:color="auto"/>
              <w:left w:val="single" w:sz="4" w:space="0" w:color="auto"/>
              <w:bottom w:val="single" w:sz="4" w:space="0" w:color="auto"/>
              <w:right w:val="single" w:sz="4" w:space="0" w:color="auto"/>
            </w:tcBorders>
            <w:noWrap/>
            <w:vAlign w:val="bottom"/>
            <w:hideMark/>
          </w:tcPr>
          <w:p w14:paraId="24E71166" w14:textId="77777777" w:rsidR="008A7756" w:rsidRDefault="008A7756" w:rsidP="00B6592C">
            <w:pPr>
              <w:spacing w:after="0" w:line="240" w:lineRule="auto"/>
              <w:jc w:val="both"/>
              <w:rPr>
                <w:rFonts w:eastAsia="Times New Roman" w:cs="Times New Roman"/>
                <w:b/>
                <w:bCs/>
                <w:color w:val="FF0000"/>
                <w:highlight w:val="yellow"/>
                <w:lang w:eastAsia="it-IT"/>
              </w:rPr>
            </w:pPr>
            <w:r>
              <w:rPr>
                <w:rFonts w:eastAsia="Times New Roman" w:cs="Times New Roman"/>
                <w:b/>
                <w:bCs/>
                <w:lang w:eastAsia="it-IT"/>
              </w:rPr>
              <w:t xml:space="preserve">Prezzi </w:t>
            </w:r>
          </w:p>
        </w:tc>
        <w:tc>
          <w:tcPr>
            <w:tcW w:w="2020" w:type="dxa"/>
            <w:tcBorders>
              <w:top w:val="single" w:sz="4" w:space="0" w:color="auto"/>
              <w:left w:val="nil"/>
              <w:bottom w:val="single" w:sz="4" w:space="0" w:color="auto"/>
              <w:right w:val="single" w:sz="4" w:space="0" w:color="auto"/>
            </w:tcBorders>
            <w:noWrap/>
            <w:vAlign w:val="bottom"/>
          </w:tcPr>
          <w:p w14:paraId="4F933F2F"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+6,0%</w:t>
            </w:r>
          </w:p>
        </w:tc>
        <w:tc>
          <w:tcPr>
            <w:tcW w:w="2200" w:type="dxa"/>
            <w:tcBorders>
              <w:top w:val="single" w:sz="4" w:space="0" w:color="auto"/>
              <w:left w:val="nil"/>
              <w:bottom w:val="single" w:sz="4" w:space="0" w:color="auto"/>
              <w:right w:val="single" w:sz="4" w:space="0" w:color="auto"/>
            </w:tcBorders>
            <w:noWrap/>
            <w:vAlign w:val="bottom"/>
          </w:tcPr>
          <w:p w14:paraId="5EEBD2B4"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+9,2%</w:t>
            </w:r>
          </w:p>
        </w:tc>
        <w:tc>
          <w:tcPr>
            <w:tcW w:w="1940" w:type="dxa"/>
            <w:tcBorders>
              <w:top w:val="single" w:sz="4" w:space="0" w:color="auto"/>
              <w:left w:val="nil"/>
              <w:bottom w:val="single" w:sz="4" w:space="0" w:color="auto"/>
              <w:right w:val="single" w:sz="4" w:space="0" w:color="auto"/>
            </w:tcBorders>
            <w:noWrap/>
            <w:vAlign w:val="bottom"/>
          </w:tcPr>
          <w:p w14:paraId="17FF1B0F"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+5,7%</w:t>
            </w:r>
          </w:p>
        </w:tc>
        <w:tc>
          <w:tcPr>
            <w:tcW w:w="1696" w:type="dxa"/>
            <w:tcBorders>
              <w:top w:val="single" w:sz="4" w:space="0" w:color="auto"/>
              <w:left w:val="nil"/>
              <w:bottom w:val="single" w:sz="4" w:space="0" w:color="auto"/>
              <w:right w:val="single" w:sz="4" w:space="0" w:color="auto"/>
            </w:tcBorders>
            <w:noWrap/>
            <w:vAlign w:val="bottom"/>
          </w:tcPr>
          <w:p w14:paraId="30BDD5DB"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+6,3%</w:t>
            </w:r>
          </w:p>
        </w:tc>
      </w:tr>
      <w:tr w:rsidR="008A7756" w14:paraId="58C3BDC3" w14:textId="77777777" w:rsidTr="00B6592C">
        <w:trPr>
          <w:trHeight w:val="300"/>
        </w:trPr>
        <w:tc>
          <w:tcPr>
            <w:tcW w:w="1940" w:type="dxa"/>
            <w:tcBorders>
              <w:top w:val="single" w:sz="4" w:space="0" w:color="auto"/>
              <w:left w:val="single" w:sz="4" w:space="0" w:color="auto"/>
              <w:bottom w:val="single" w:sz="4" w:space="0" w:color="auto"/>
              <w:right w:val="single" w:sz="4" w:space="0" w:color="auto"/>
            </w:tcBorders>
            <w:noWrap/>
            <w:vAlign w:val="bottom"/>
            <w:hideMark/>
          </w:tcPr>
          <w:p w14:paraId="18FACFE0" w14:textId="77777777" w:rsidR="008A7756" w:rsidRDefault="008A7756" w:rsidP="00B6592C">
            <w:pPr>
              <w:spacing w:after="0" w:line="240" w:lineRule="auto"/>
              <w:jc w:val="both"/>
              <w:rPr>
                <w:rFonts w:eastAsia="Times New Roman" w:cs="Times New Roman"/>
                <w:b/>
                <w:bCs/>
                <w:lang w:eastAsia="it-IT"/>
              </w:rPr>
            </w:pPr>
            <w:r>
              <w:rPr>
                <w:rFonts w:eastAsia="Times New Roman" w:cs="Times New Roman"/>
                <w:b/>
                <w:bCs/>
                <w:lang w:eastAsia="it-IT"/>
              </w:rPr>
              <w:t>Canoni di locazione</w:t>
            </w:r>
          </w:p>
        </w:tc>
        <w:tc>
          <w:tcPr>
            <w:tcW w:w="2020" w:type="dxa"/>
            <w:tcBorders>
              <w:top w:val="single" w:sz="4" w:space="0" w:color="auto"/>
              <w:left w:val="nil"/>
              <w:bottom w:val="single" w:sz="4" w:space="0" w:color="auto"/>
              <w:right w:val="single" w:sz="4" w:space="0" w:color="auto"/>
            </w:tcBorders>
            <w:noWrap/>
            <w:vAlign w:val="bottom"/>
          </w:tcPr>
          <w:p w14:paraId="6905833D"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+3,6%</w:t>
            </w:r>
          </w:p>
        </w:tc>
        <w:tc>
          <w:tcPr>
            <w:tcW w:w="2200" w:type="dxa"/>
            <w:tcBorders>
              <w:top w:val="single" w:sz="4" w:space="0" w:color="auto"/>
              <w:left w:val="nil"/>
              <w:bottom w:val="single" w:sz="4" w:space="0" w:color="auto"/>
              <w:right w:val="single" w:sz="4" w:space="0" w:color="auto"/>
            </w:tcBorders>
            <w:noWrap/>
            <w:vAlign w:val="bottom"/>
          </w:tcPr>
          <w:p w14:paraId="1388A436"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+4,4%</w:t>
            </w:r>
          </w:p>
        </w:tc>
        <w:tc>
          <w:tcPr>
            <w:tcW w:w="1940" w:type="dxa"/>
            <w:tcBorders>
              <w:top w:val="single" w:sz="4" w:space="0" w:color="auto"/>
              <w:left w:val="nil"/>
              <w:bottom w:val="single" w:sz="4" w:space="0" w:color="auto"/>
              <w:right w:val="single" w:sz="4" w:space="0" w:color="auto"/>
            </w:tcBorders>
            <w:noWrap/>
            <w:vAlign w:val="bottom"/>
          </w:tcPr>
          <w:p w14:paraId="7C10786A"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+4,4%</w:t>
            </w:r>
          </w:p>
        </w:tc>
        <w:tc>
          <w:tcPr>
            <w:tcW w:w="1696" w:type="dxa"/>
            <w:tcBorders>
              <w:top w:val="single" w:sz="4" w:space="0" w:color="auto"/>
              <w:left w:val="nil"/>
              <w:bottom w:val="single" w:sz="4" w:space="0" w:color="auto"/>
              <w:right w:val="single" w:sz="4" w:space="0" w:color="auto"/>
            </w:tcBorders>
            <w:noWrap/>
            <w:vAlign w:val="bottom"/>
          </w:tcPr>
          <w:p w14:paraId="1EE881AE"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+4,4%</w:t>
            </w:r>
          </w:p>
        </w:tc>
      </w:tr>
    </w:tbl>
    <w:p w14:paraId="6853BB9A" w14:textId="77777777" w:rsidR="008A7756" w:rsidRPr="000C547C" w:rsidRDefault="008A7756" w:rsidP="008A7756">
      <w:pPr>
        <w:jc w:val="both"/>
        <w:rPr>
          <w:rFonts w:eastAsia="Calibri" w:cs="Times New Roman"/>
        </w:rPr>
      </w:pPr>
    </w:p>
    <w:p w14:paraId="6F50F402" w14:textId="77777777" w:rsidR="008A7756" w:rsidRPr="008A7756" w:rsidRDefault="008A7756" w:rsidP="00884AEC">
      <w:pPr>
        <w:spacing w:after="0"/>
        <w:jc w:val="both"/>
        <w:rPr>
          <w:b/>
          <w:bCs/>
          <w:color w:val="C00000"/>
        </w:rPr>
      </w:pPr>
      <w:r w:rsidRPr="008A7756">
        <w:rPr>
          <w:b/>
          <w:bCs/>
          <w:color w:val="C00000"/>
        </w:rPr>
        <w:t xml:space="preserve">LABORATORI </w:t>
      </w:r>
    </w:p>
    <w:tbl>
      <w:tblPr>
        <w:tblW w:w="3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7"/>
        <w:gridCol w:w="1619"/>
      </w:tblGrid>
      <w:tr w:rsidR="008A7756" w14:paraId="1352B263" w14:textId="77777777" w:rsidTr="00B6592C">
        <w:trPr>
          <w:trHeight w:val="315"/>
        </w:trPr>
        <w:tc>
          <w:tcPr>
            <w:tcW w:w="2067" w:type="dxa"/>
            <w:tcBorders>
              <w:top w:val="single" w:sz="4" w:space="0" w:color="auto"/>
              <w:left w:val="single" w:sz="4" w:space="0" w:color="auto"/>
              <w:bottom w:val="single" w:sz="4" w:space="0" w:color="auto"/>
              <w:right w:val="single" w:sz="4" w:space="0" w:color="auto"/>
            </w:tcBorders>
            <w:noWrap/>
            <w:vAlign w:val="center"/>
            <w:hideMark/>
          </w:tcPr>
          <w:p w14:paraId="0FADF49B" w14:textId="77777777" w:rsidR="008A7756" w:rsidRDefault="008A7756" w:rsidP="00B6592C">
            <w:pPr>
              <w:spacing w:after="0" w:line="240" w:lineRule="auto"/>
              <w:jc w:val="both"/>
              <w:rPr>
                <w:rFonts w:eastAsia="Times New Roman" w:cs="Times New Roman"/>
                <w:b/>
                <w:lang w:eastAsia="it-IT"/>
              </w:rPr>
            </w:pPr>
            <w:r>
              <w:rPr>
                <w:rFonts w:eastAsia="Times New Roman" w:cs="Times New Roman"/>
                <w:b/>
                <w:lang w:eastAsia="it-IT"/>
              </w:rPr>
              <w:t xml:space="preserve">Prezzi </w:t>
            </w:r>
          </w:p>
        </w:tc>
        <w:tc>
          <w:tcPr>
            <w:tcW w:w="1619" w:type="dxa"/>
            <w:tcBorders>
              <w:top w:val="single" w:sz="4" w:space="0" w:color="auto"/>
              <w:left w:val="single" w:sz="4" w:space="0" w:color="auto"/>
              <w:bottom w:val="single" w:sz="4" w:space="0" w:color="auto"/>
              <w:right w:val="single" w:sz="4" w:space="0" w:color="auto"/>
            </w:tcBorders>
            <w:noWrap/>
            <w:vAlign w:val="center"/>
          </w:tcPr>
          <w:p w14:paraId="1F8D85CC" w14:textId="77777777" w:rsidR="008A7756" w:rsidRDefault="008A7756" w:rsidP="00B6592C">
            <w:pPr>
              <w:spacing w:after="0" w:line="360" w:lineRule="auto"/>
              <w:jc w:val="both"/>
              <w:rPr>
                <w:rFonts w:eastAsia="Times New Roman" w:cs="Times New Roman"/>
                <w:lang w:eastAsia="it-IT"/>
              </w:rPr>
            </w:pPr>
            <w:r>
              <w:rPr>
                <w:rFonts w:eastAsia="Times New Roman" w:cs="Times New Roman"/>
                <w:lang w:eastAsia="it-IT"/>
              </w:rPr>
              <w:t>+6,8%</w:t>
            </w:r>
          </w:p>
        </w:tc>
      </w:tr>
      <w:tr w:rsidR="008A7756" w14:paraId="29A997C2" w14:textId="77777777" w:rsidTr="00B6592C">
        <w:trPr>
          <w:trHeight w:val="315"/>
        </w:trPr>
        <w:tc>
          <w:tcPr>
            <w:tcW w:w="2067" w:type="dxa"/>
            <w:tcBorders>
              <w:top w:val="single" w:sz="4" w:space="0" w:color="auto"/>
              <w:left w:val="single" w:sz="4" w:space="0" w:color="auto"/>
              <w:bottom w:val="single" w:sz="4" w:space="0" w:color="auto"/>
              <w:right w:val="single" w:sz="4" w:space="0" w:color="auto"/>
            </w:tcBorders>
            <w:noWrap/>
            <w:vAlign w:val="center"/>
            <w:hideMark/>
          </w:tcPr>
          <w:p w14:paraId="66923A2F" w14:textId="77777777" w:rsidR="008A7756" w:rsidRDefault="008A7756" w:rsidP="008A7756">
            <w:pPr>
              <w:spacing w:after="0" w:line="240" w:lineRule="auto"/>
              <w:rPr>
                <w:rFonts w:eastAsia="Times New Roman" w:cs="Times New Roman"/>
                <w:b/>
                <w:lang w:eastAsia="it-IT"/>
              </w:rPr>
            </w:pPr>
            <w:r>
              <w:rPr>
                <w:rFonts w:eastAsia="Times New Roman" w:cs="Times New Roman"/>
                <w:b/>
                <w:lang w:eastAsia="it-IT"/>
              </w:rPr>
              <w:t>Canoni di locazione</w:t>
            </w:r>
          </w:p>
        </w:tc>
        <w:tc>
          <w:tcPr>
            <w:tcW w:w="1619" w:type="dxa"/>
            <w:tcBorders>
              <w:top w:val="single" w:sz="4" w:space="0" w:color="auto"/>
              <w:left w:val="single" w:sz="4" w:space="0" w:color="auto"/>
              <w:bottom w:val="single" w:sz="4" w:space="0" w:color="auto"/>
              <w:right w:val="single" w:sz="4" w:space="0" w:color="auto"/>
            </w:tcBorders>
            <w:noWrap/>
            <w:vAlign w:val="center"/>
          </w:tcPr>
          <w:p w14:paraId="12CEFC16" w14:textId="77777777" w:rsidR="008A7756" w:rsidRDefault="008A7756" w:rsidP="00B6592C">
            <w:pPr>
              <w:spacing w:after="0" w:line="240" w:lineRule="auto"/>
              <w:jc w:val="both"/>
              <w:rPr>
                <w:rFonts w:eastAsia="Times New Roman" w:cs="Times New Roman"/>
                <w:lang w:eastAsia="it-IT"/>
              </w:rPr>
            </w:pPr>
            <w:r>
              <w:rPr>
                <w:rFonts w:eastAsia="Times New Roman" w:cs="Times New Roman"/>
                <w:lang w:eastAsia="it-IT"/>
              </w:rPr>
              <w:t>+6,0%</w:t>
            </w:r>
          </w:p>
        </w:tc>
      </w:tr>
    </w:tbl>
    <w:p w14:paraId="37316809" w14:textId="77777777" w:rsidR="008A7756" w:rsidRDefault="008A7756"/>
    <w:p w14:paraId="17743D3C" w14:textId="77777777" w:rsidR="008A7756" w:rsidRPr="008A7756" w:rsidRDefault="008A7756" w:rsidP="00884AEC">
      <w:pPr>
        <w:spacing w:after="0"/>
        <w:jc w:val="both"/>
        <w:rPr>
          <w:color w:val="C00000"/>
        </w:rPr>
      </w:pPr>
      <w:r w:rsidRPr="008A7756">
        <w:rPr>
          <w:b/>
          <w:bCs/>
          <w:color w:val="C00000"/>
        </w:rPr>
        <w:t>NEGOZI</w:t>
      </w:r>
    </w:p>
    <w:tbl>
      <w:tblPr>
        <w:tblW w:w="6160" w:type="dxa"/>
        <w:tblInd w:w="55" w:type="dxa"/>
        <w:tblCellMar>
          <w:left w:w="70" w:type="dxa"/>
          <w:right w:w="70" w:type="dxa"/>
        </w:tblCellMar>
        <w:tblLook w:val="04A0" w:firstRow="1" w:lastRow="0" w:firstColumn="1" w:lastColumn="0" w:noHBand="0" w:noVBand="1"/>
      </w:tblPr>
      <w:tblGrid>
        <w:gridCol w:w="1940"/>
        <w:gridCol w:w="2020"/>
        <w:gridCol w:w="2200"/>
      </w:tblGrid>
      <w:tr w:rsidR="008A7756" w14:paraId="7B0DD1DC" w14:textId="77777777" w:rsidTr="00B6592C">
        <w:trPr>
          <w:trHeight w:val="315"/>
        </w:trPr>
        <w:tc>
          <w:tcPr>
            <w:tcW w:w="1940" w:type="dxa"/>
            <w:tcBorders>
              <w:top w:val="single" w:sz="4" w:space="0" w:color="auto"/>
              <w:left w:val="single" w:sz="4" w:space="0" w:color="auto"/>
              <w:bottom w:val="single" w:sz="4" w:space="0" w:color="auto"/>
              <w:right w:val="single" w:sz="4" w:space="0" w:color="auto"/>
            </w:tcBorders>
            <w:noWrap/>
            <w:vAlign w:val="center"/>
            <w:hideMark/>
          </w:tcPr>
          <w:p w14:paraId="615DED14" w14:textId="77777777" w:rsidR="008A7756" w:rsidRDefault="008A7756" w:rsidP="00B6592C">
            <w:pPr>
              <w:spacing w:after="0" w:line="240" w:lineRule="auto"/>
              <w:jc w:val="both"/>
              <w:rPr>
                <w:rFonts w:eastAsia="Times New Roman" w:cs="Times New Roman"/>
                <w:b/>
                <w:bCs/>
                <w:lang w:eastAsia="it-IT"/>
              </w:rPr>
            </w:pPr>
            <w:r>
              <w:rPr>
                <w:rFonts w:eastAsia="Times New Roman" w:cs="Times New Roman"/>
                <w:b/>
                <w:bCs/>
                <w:lang w:eastAsia="it-IT"/>
              </w:rPr>
              <w:t>Negozi</w:t>
            </w:r>
          </w:p>
        </w:tc>
        <w:tc>
          <w:tcPr>
            <w:tcW w:w="2020" w:type="dxa"/>
            <w:tcBorders>
              <w:top w:val="single" w:sz="4" w:space="0" w:color="auto"/>
              <w:left w:val="nil"/>
              <w:bottom w:val="single" w:sz="4" w:space="0" w:color="auto"/>
              <w:right w:val="single" w:sz="4" w:space="0" w:color="auto"/>
            </w:tcBorders>
            <w:noWrap/>
            <w:vAlign w:val="center"/>
            <w:hideMark/>
          </w:tcPr>
          <w:p w14:paraId="6B5D00A3" w14:textId="77777777" w:rsidR="008A7756" w:rsidRDefault="008A7756" w:rsidP="00B6592C">
            <w:pPr>
              <w:spacing w:after="0" w:line="240" w:lineRule="auto"/>
              <w:jc w:val="both"/>
              <w:rPr>
                <w:rFonts w:eastAsia="Times New Roman" w:cs="Times New Roman"/>
                <w:b/>
                <w:bCs/>
                <w:lang w:eastAsia="it-IT"/>
              </w:rPr>
            </w:pPr>
            <w:r>
              <w:rPr>
                <w:rFonts w:eastAsia="Times New Roman" w:cs="Times New Roman"/>
                <w:b/>
                <w:bCs/>
                <w:lang w:eastAsia="it-IT"/>
              </w:rPr>
              <w:t>Vie di passaggio</w:t>
            </w:r>
          </w:p>
        </w:tc>
        <w:tc>
          <w:tcPr>
            <w:tcW w:w="2200" w:type="dxa"/>
            <w:tcBorders>
              <w:top w:val="single" w:sz="4" w:space="0" w:color="auto"/>
              <w:left w:val="nil"/>
              <w:bottom w:val="single" w:sz="4" w:space="0" w:color="auto"/>
              <w:right w:val="single" w:sz="4" w:space="0" w:color="auto"/>
            </w:tcBorders>
            <w:noWrap/>
            <w:vAlign w:val="center"/>
            <w:hideMark/>
          </w:tcPr>
          <w:p w14:paraId="69EE6E64" w14:textId="77777777" w:rsidR="008A7756" w:rsidRDefault="008A7756" w:rsidP="00B6592C">
            <w:pPr>
              <w:spacing w:after="0" w:line="240" w:lineRule="auto"/>
              <w:jc w:val="both"/>
              <w:rPr>
                <w:rFonts w:eastAsia="Times New Roman" w:cs="Times New Roman"/>
                <w:b/>
                <w:bCs/>
                <w:lang w:eastAsia="it-IT"/>
              </w:rPr>
            </w:pPr>
            <w:r>
              <w:rPr>
                <w:rFonts w:eastAsia="Times New Roman" w:cs="Times New Roman"/>
                <w:b/>
                <w:bCs/>
                <w:lang w:eastAsia="it-IT"/>
              </w:rPr>
              <w:t>Vie non di passaggio</w:t>
            </w:r>
          </w:p>
        </w:tc>
      </w:tr>
      <w:tr w:rsidR="008A7756" w14:paraId="1AEA0EA2" w14:textId="77777777" w:rsidTr="00B6592C">
        <w:trPr>
          <w:trHeight w:val="315"/>
        </w:trPr>
        <w:tc>
          <w:tcPr>
            <w:tcW w:w="1940" w:type="dxa"/>
            <w:tcBorders>
              <w:top w:val="nil"/>
              <w:left w:val="single" w:sz="4" w:space="0" w:color="auto"/>
              <w:bottom w:val="single" w:sz="4" w:space="0" w:color="auto"/>
              <w:right w:val="single" w:sz="4" w:space="0" w:color="auto"/>
            </w:tcBorders>
            <w:noWrap/>
            <w:vAlign w:val="center"/>
            <w:hideMark/>
          </w:tcPr>
          <w:p w14:paraId="5C38D576" w14:textId="77777777" w:rsidR="008A7756" w:rsidRDefault="008A7756" w:rsidP="008A7756">
            <w:pPr>
              <w:spacing w:after="0" w:line="240" w:lineRule="auto"/>
              <w:rPr>
                <w:rFonts w:eastAsia="Times New Roman" w:cs="Times New Roman"/>
                <w:b/>
                <w:bCs/>
                <w:lang w:eastAsia="it-IT"/>
              </w:rPr>
            </w:pPr>
            <w:r>
              <w:rPr>
                <w:rFonts w:eastAsia="Times New Roman" w:cs="Times New Roman"/>
                <w:b/>
                <w:bCs/>
                <w:lang w:eastAsia="it-IT"/>
              </w:rPr>
              <w:t>Prezzi</w:t>
            </w:r>
          </w:p>
        </w:tc>
        <w:tc>
          <w:tcPr>
            <w:tcW w:w="2020" w:type="dxa"/>
            <w:tcBorders>
              <w:top w:val="nil"/>
              <w:left w:val="nil"/>
              <w:bottom w:val="single" w:sz="4" w:space="0" w:color="auto"/>
              <w:right w:val="single" w:sz="4" w:space="0" w:color="auto"/>
            </w:tcBorders>
            <w:noWrap/>
            <w:vAlign w:val="center"/>
          </w:tcPr>
          <w:p w14:paraId="0B62097B" w14:textId="77777777" w:rsidR="008A7756" w:rsidRDefault="008A7756" w:rsidP="00B6592C">
            <w:pPr>
              <w:spacing w:after="0" w:line="240" w:lineRule="auto"/>
              <w:jc w:val="both"/>
              <w:rPr>
                <w:rFonts w:eastAsia="Times New Roman" w:cs="Times New Roman"/>
                <w:lang w:eastAsia="it-IT"/>
              </w:rPr>
            </w:pPr>
            <w:r>
              <w:rPr>
                <w:rFonts w:eastAsia="Times New Roman" w:cs="Times New Roman"/>
                <w:lang w:eastAsia="it-IT"/>
              </w:rPr>
              <w:t>+4,0%</w:t>
            </w:r>
          </w:p>
        </w:tc>
        <w:tc>
          <w:tcPr>
            <w:tcW w:w="2200" w:type="dxa"/>
            <w:tcBorders>
              <w:top w:val="nil"/>
              <w:left w:val="nil"/>
              <w:bottom w:val="single" w:sz="4" w:space="0" w:color="auto"/>
              <w:right w:val="single" w:sz="4" w:space="0" w:color="auto"/>
            </w:tcBorders>
            <w:noWrap/>
            <w:vAlign w:val="center"/>
          </w:tcPr>
          <w:p w14:paraId="4B125F97" w14:textId="77777777" w:rsidR="008A7756" w:rsidRDefault="008A7756" w:rsidP="00B6592C">
            <w:pPr>
              <w:spacing w:after="0" w:line="240" w:lineRule="auto"/>
              <w:jc w:val="both"/>
              <w:rPr>
                <w:rFonts w:eastAsia="Times New Roman" w:cs="Times New Roman"/>
                <w:lang w:eastAsia="it-IT"/>
              </w:rPr>
            </w:pPr>
            <w:r>
              <w:rPr>
                <w:rFonts w:eastAsia="Times New Roman" w:cs="Times New Roman"/>
                <w:lang w:eastAsia="it-IT"/>
              </w:rPr>
              <w:t>+5,6%</w:t>
            </w:r>
          </w:p>
        </w:tc>
      </w:tr>
      <w:tr w:rsidR="008A7756" w14:paraId="57AD2C69" w14:textId="77777777" w:rsidTr="00B6592C">
        <w:trPr>
          <w:trHeight w:val="315"/>
        </w:trPr>
        <w:tc>
          <w:tcPr>
            <w:tcW w:w="1940" w:type="dxa"/>
            <w:tcBorders>
              <w:top w:val="nil"/>
              <w:left w:val="single" w:sz="4" w:space="0" w:color="auto"/>
              <w:bottom w:val="single" w:sz="4" w:space="0" w:color="auto"/>
              <w:right w:val="single" w:sz="4" w:space="0" w:color="auto"/>
            </w:tcBorders>
            <w:noWrap/>
            <w:vAlign w:val="center"/>
            <w:hideMark/>
          </w:tcPr>
          <w:p w14:paraId="20400A1C" w14:textId="77777777" w:rsidR="008A7756" w:rsidRDefault="008A7756" w:rsidP="008A7756">
            <w:pPr>
              <w:spacing w:after="0" w:line="240" w:lineRule="auto"/>
              <w:rPr>
                <w:rFonts w:eastAsia="Times New Roman" w:cs="Times New Roman"/>
                <w:b/>
                <w:bCs/>
                <w:lang w:eastAsia="it-IT"/>
              </w:rPr>
            </w:pPr>
            <w:r>
              <w:rPr>
                <w:rFonts w:eastAsia="Times New Roman" w:cs="Times New Roman"/>
                <w:b/>
                <w:bCs/>
                <w:lang w:eastAsia="it-IT"/>
              </w:rPr>
              <w:t>Canoni di locazione</w:t>
            </w:r>
          </w:p>
        </w:tc>
        <w:tc>
          <w:tcPr>
            <w:tcW w:w="2020" w:type="dxa"/>
            <w:tcBorders>
              <w:top w:val="nil"/>
              <w:left w:val="nil"/>
              <w:bottom w:val="single" w:sz="4" w:space="0" w:color="auto"/>
              <w:right w:val="single" w:sz="4" w:space="0" w:color="auto"/>
            </w:tcBorders>
            <w:noWrap/>
            <w:vAlign w:val="center"/>
          </w:tcPr>
          <w:p w14:paraId="53D0A2EC" w14:textId="77777777" w:rsidR="008A7756" w:rsidRDefault="008A7756" w:rsidP="00B6592C">
            <w:pPr>
              <w:spacing w:after="0" w:line="240" w:lineRule="auto"/>
              <w:jc w:val="both"/>
              <w:rPr>
                <w:rFonts w:eastAsia="Times New Roman" w:cs="Times New Roman"/>
                <w:lang w:eastAsia="it-IT"/>
              </w:rPr>
            </w:pPr>
            <w:r>
              <w:rPr>
                <w:rFonts w:eastAsia="Times New Roman" w:cs="Times New Roman"/>
                <w:lang w:eastAsia="it-IT"/>
              </w:rPr>
              <w:t>+4,8%</w:t>
            </w:r>
          </w:p>
        </w:tc>
        <w:tc>
          <w:tcPr>
            <w:tcW w:w="2200" w:type="dxa"/>
            <w:tcBorders>
              <w:top w:val="nil"/>
              <w:left w:val="nil"/>
              <w:bottom w:val="single" w:sz="4" w:space="0" w:color="auto"/>
              <w:right w:val="single" w:sz="4" w:space="0" w:color="auto"/>
            </w:tcBorders>
            <w:noWrap/>
            <w:vAlign w:val="center"/>
          </w:tcPr>
          <w:p w14:paraId="06070DE8" w14:textId="77777777" w:rsidR="008A7756" w:rsidRDefault="008A7756" w:rsidP="00B6592C">
            <w:pPr>
              <w:spacing w:after="0" w:line="240" w:lineRule="auto"/>
              <w:jc w:val="both"/>
              <w:rPr>
                <w:rFonts w:eastAsia="Times New Roman" w:cs="Times New Roman"/>
                <w:lang w:eastAsia="it-IT"/>
              </w:rPr>
            </w:pPr>
            <w:r>
              <w:rPr>
                <w:rFonts w:eastAsia="Times New Roman" w:cs="Times New Roman"/>
                <w:lang w:eastAsia="it-IT"/>
              </w:rPr>
              <w:t>+3,5%</w:t>
            </w:r>
          </w:p>
        </w:tc>
      </w:tr>
    </w:tbl>
    <w:p w14:paraId="298D9BA7" w14:textId="77777777" w:rsidR="008A7756" w:rsidRDefault="008A7756" w:rsidP="008A7756">
      <w:pPr>
        <w:jc w:val="both"/>
      </w:pPr>
    </w:p>
    <w:p w14:paraId="547D629C" w14:textId="1AC37AFB" w:rsidR="008A7756" w:rsidRPr="008A7756" w:rsidRDefault="008A7756" w:rsidP="00884AEC">
      <w:pPr>
        <w:spacing w:after="0"/>
        <w:jc w:val="both"/>
        <w:rPr>
          <w:b/>
          <w:bCs/>
          <w:color w:val="C00000"/>
        </w:rPr>
      </w:pPr>
      <w:r w:rsidRPr="008A7756">
        <w:rPr>
          <w:b/>
          <w:bCs/>
          <w:color w:val="C00000"/>
        </w:rPr>
        <w:t>UFFICI</w:t>
      </w:r>
    </w:p>
    <w:tbl>
      <w:tblPr>
        <w:tblW w:w="9654" w:type="dxa"/>
        <w:tblInd w:w="55" w:type="dxa"/>
        <w:tblCellMar>
          <w:left w:w="70" w:type="dxa"/>
          <w:right w:w="70" w:type="dxa"/>
        </w:tblCellMar>
        <w:tblLook w:val="04A0" w:firstRow="1" w:lastRow="0" w:firstColumn="1" w:lastColumn="0" w:noHBand="0" w:noVBand="1"/>
      </w:tblPr>
      <w:tblGrid>
        <w:gridCol w:w="1940"/>
        <w:gridCol w:w="1903"/>
        <w:gridCol w:w="2126"/>
        <w:gridCol w:w="1843"/>
        <w:gridCol w:w="1842"/>
      </w:tblGrid>
      <w:tr w:rsidR="008A7756" w14:paraId="538002FF" w14:textId="77777777" w:rsidTr="00B6592C">
        <w:trPr>
          <w:trHeight w:val="315"/>
        </w:trPr>
        <w:tc>
          <w:tcPr>
            <w:tcW w:w="1940" w:type="dxa"/>
            <w:tcBorders>
              <w:top w:val="single" w:sz="4" w:space="0" w:color="auto"/>
              <w:left w:val="single" w:sz="4" w:space="0" w:color="auto"/>
              <w:bottom w:val="single" w:sz="4" w:space="0" w:color="auto"/>
              <w:right w:val="single" w:sz="4" w:space="0" w:color="auto"/>
            </w:tcBorders>
            <w:noWrap/>
            <w:vAlign w:val="bottom"/>
            <w:hideMark/>
          </w:tcPr>
          <w:p w14:paraId="693CDF26" w14:textId="77777777" w:rsidR="008A7756" w:rsidRDefault="008A7756" w:rsidP="00B6592C">
            <w:pPr>
              <w:jc w:val="both"/>
              <w:rPr>
                <w:rFonts w:eastAsia="Times New Roman" w:cs="Times New Roman"/>
                <w:b/>
                <w:lang w:eastAsia="it-IT"/>
              </w:rPr>
            </w:pPr>
          </w:p>
        </w:tc>
        <w:tc>
          <w:tcPr>
            <w:tcW w:w="1903" w:type="dxa"/>
            <w:tcBorders>
              <w:top w:val="single" w:sz="4" w:space="0" w:color="auto"/>
              <w:left w:val="nil"/>
              <w:bottom w:val="single" w:sz="4" w:space="0" w:color="auto"/>
              <w:right w:val="single" w:sz="4" w:space="0" w:color="auto"/>
            </w:tcBorders>
            <w:noWrap/>
            <w:vAlign w:val="bottom"/>
            <w:hideMark/>
          </w:tcPr>
          <w:p w14:paraId="5F49A4E5" w14:textId="77777777" w:rsidR="008A7756" w:rsidRDefault="008A7756" w:rsidP="00B6592C">
            <w:pPr>
              <w:jc w:val="both"/>
              <w:rPr>
                <w:rFonts w:eastAsia="Times New Roman" w:cs="Times New Roman"/>
                <w:b/>
                <w:lang w:eastAsia="it-IT"/>
              </w:rPr>
            </w:pPr>
            <w:r>
              <w:rPr>
                <w:rFonts w:eastAsia="Times New Roman" w:cs="Times New Roman"/>
                <w:b/>
                <w:lang w:eastAsia="it-IT"/>
              </w:rPr>
              <w:t>Nuovo in centri direzionali</w:t>
            </w:r>
          </w:p>
        </w:tc>
        <w:tc>
          <w:tcPr>
            <w:tcW w:w="2126" w:type="dxa"/>
            <w:tcBorders>
              <w:top w:val="single" w:sz="4" w:space="0" w:color="auto"/>
              <w:left w:val="nil"/>
              <w:bottom w:val="single" w:sz="4" w:space="0" w:color="auto"/>
              <w:right w:val="single" w:sz="4" w:space="0" w:color="auto"/>
            </w:tcBorders>
            <w:noWrap/>
            <w:vAlign w:val="bottom"/>
            <w:hideMark/>
          </w:tcPr>
          <w:p w14:paraId="2747DB35" w14:textId="77777777" w:rsidR="008A7756" w:rsidRDefault="008A7756" w:rsidP="00B6592C">
            <w:pPr>
              <w:jc w:val="both"/>
              <w:rPr>
                <w:rFonts w:eastAsia="Times New Roman" w:cs="Times New Roman"/>
                <w:b/>
                <w:lang w:eastAsia="it-IT"/>
              </w:rPr>
            </w:pPr>
            <w:r>
              <w:rPr>
                <w:rFonts w:eastAsia="Times New Roman" w:cs="Times New Roman"/>
                <w:b/>
                <w:lang w:eastAsia="it-IT"/>
              </w:rPr>
              <w:t>Nuovo in palazzine residenziali</w:t>
            </w:r>
          </w:p>
        </w:tc>
        <w:tc>
          <w:tcPr>
            <w:tcW w:w="1843" w:type="dxa"/>
            <w:tcBorders>
              <w:top w:val="single" w:sz="4" w:space="0" w:color="auto"/>
              <w:left w:val="nil"/>
              <w:bottom w:val="single" w:sz="4" w:space="0" w:color="auto"/>
              <w:right w:val="single" w:sz="4" w:space="0" w:color="auto"/>
            </w:tcBorders>
            <w:noWrap/>
            <w:vAlign w:val="bottom"/>
            <w:hideMark/>
          </w:tcPr>
          <w:p w14:paraId="0AB136F5" w14:textId="77777777" w:rsidR="008A7756" w:rsidRDefault="008A7756" w:rsidP="00B6592C">
            <w:pPr>
              <w:jc w:val="both"/>
              <w:rPr>
                <w:rFonts w:eastAsia="Times New Roman" w:cs="Times New Roman"/>
                <w:b/>
                <w:lang w:eastAsia="it-IT"/>
              </w:rPr>
            </w:pPr>
            <w:r>
              <w:rPr>
                <w:rFonts w:eastAsia="Times New Roman" w:cs="Times New Roman"/>
                <w:b/>
                <w:lang w:eastAsia="it-IT"/>
              </w:rPr>
              <w:t>Usato in centri direzionali</w:t>
            </w:r>
          </w:p>
        </w:tc>
        <w:tc>
          <w:tcPr>
            <w:tcW w:w="1842" w:type="dxa"/>
            <w:tcBorders>
              <w:top w:val="single" w:sz="4" w:space="0" w:color="auto"/>
              <w:left w:val="nil"/>
              <w:bottom w:val="single" w:sz="4" w:space="0" w:color="auto"/>
              <w:right w:val="single" w:sz="4" w:space="0" w:color="auto"/>
            </w:tcBorders>
            <w:noWrap/>
            <w:vAlign w:val="bottom"/>
            <w:hideMark/>
          </w:tcPr>
          <w:p w14:paraId="4B95F90B" w14:textId="77777777" w:rsidR="008A7756" w:rsidRDefault="008A7756" w:rsidP="00B6592C">
            <w:pPr>
              <w:jc w:val="both"/>
              <w:rPr>
                <w:rFonts w:eastAsia="Times New Roman" w:cs="Times New Roman"/>
                <w:b/>
                <w:lang w:eastAsia="it-IT"/>
              </w:rPr>
            </w:pPr>
            <w:r>
              <w:rPr>
                <w:rFonts w:eastAsia="Times New Roman" w:cs="Times New Roman"/>
                <w:b/>
                <w:lang w:eastAsia="it-IT"/>
              </w:rPr>
              <w:t>Usato in palazzine residenziali</w:t>
            </w:r>
          </w:p>
        </w:tc>
      </w:tr>
      <w:tr w:rsidR="008A7756" w14:paraId="6A584EBD" w14:textId="77777777" w:rsidTr="00B6592C">
        <w:trPr>
          <w:trHeight w:val="315"/>
        </w:trPr>
        <w:tc>
          <w:tcPr>
            <w:tcW w:w="1940" w:type="dxa"/>
            <w:tcBorders>
              <w:top w:val="nil"/>
              <w:left w:val="single" w:sz="4" w:space="0" w:color="auto"/>
              <w:bottom w:val="single" w:sz="4" w:space="0" w:color="auto"/>
              <w:right w:val="single" w:sz="4" w:space="0" w:color="auto"/>
            </w:tcBorders>
            <w:noWrap/>
            <w:vAlign w:val="bottom"/>
            <w:hideMark/>
          </w:tcPr>
          <w:p w14:paraId="70FFCEF8" w14:textId="77777777" w:rsidR="008A7756" w:rsidRDefault="008A7756" w:rsidP="008A7756">
            <w:pPr>
              <w:rPr>
                <w:rFonts w:eastAsia="Times New Roman" w:cs="Times New Roman"/>
                <w:b/>
                <w:lang w:eastAsia="it-IT"/>
              </w:rPr>
            </w:pPr>
            <w:r>
              <w:rPr>
                <w:rFonts w:eastAsia="Times New Roman" w:cs="Times New Roman"/>
                <w:b/>
                <w:lang w:eastAsia="it-IT"/>
              </w:rPr>
              <w:t xml:space="preserve">Prezzi </w:t>
            </w:r>
          </w:p>
        </w:tc>
        <w:tc>
          <w:tcPr>
            <w:tcW w:w="1903" w:type="dxa"/>
            <w:tcBorders>
              <w:top w:val="nil"/>
              <w:left w:val="nil"/>
              <w:bottom w:val="single" w:sz="4" w:space="0" w:color="auto"/>
              <w:right w:val="single" w:sz="4" w:space="0" w:color="auto"/>
            </w:tcBorders>
            <w:noWrap/>
            <w:vAlign w:val="bottom"/>
          </w:tcPr>
          <w:p w14:paraId="20B3F43C" w14:textId="77777777" w:rsidR="008A7756" w:rsidRDefault="008A7756" w:rsidP="00B6592C">
            <w:pPr>
              <w:jc w:val="both"/>
              <w:rPr>
                <w:rFonts w:eastAsia="Times New Roman" w:cs="Times New Roman"/>
                <w:lang w:eastAsia="it-IT"/>
              </w:rPr>
            </w:pPr>
            <w:r>
              <w:rPr>
                <w:rFonts w:eastAsia="Times New Roman" w:cs="Times New Roman"/>
                <w:lang w:eastAsia="it-IT"/>
              </w:rPr>
              <w:t>+5,5%</w:t>
            </w:r>
          </w:p>
        </w:tc>
        <w:tc>
          <w:tcPr>
            <w:tcW w:w="2126" w:type="dxa"/>
            <w:tcBorders>
              <w:top w:val="nil"/>
              <w:left w:val="nil"/>
              <w:bottom w:val="single" w:sz="4" w:space="0" w:color="auto"/>
              <w:right w:val="single" w:sz="4" w:space="0" w:color="auto"/>
            </w:tcBorders>
            <w:noWrap/>
            <w:vAlign w:val="bottom"/>
          </w:tcPr>
          <w:p w14:paraId="32AD6A41" w14:textId="77777777" w:rsidR="008A7756" w:rsidRDefault="008A7756" w:rsidP="00B6592C">
            <w:pPr>
              <w:jc w:val="both"/>
              <w:rPr>
                <w:rFonts w:eastAsia="Times New Roman" w:cs="Times New Roman"/>
                <w:lang w:eastAsia="it-IT"/>
              </w:rPr>
            </w:pPr>
            <w:r>
              <w:rPr>
                <w:rFonts w:eastAsia="Times New Roman" w:cs="Times New Roman"/>
                <w:lang w:eastAsia="it-IT"/>
              </w:rPr>
              <w:t>+5,1%</w:t>
            </w:r>
          </w:p>
        </w:tc>
        <w:tc>
          <w:tcPr>
            <w:tcW w:w="1843" w:type="dxa"/>
            <w:tcBorders>
              <w:top w:val="nil"/>
              <w:left w:val="nil"/>
              <w:bottom w:val="single" w:sz="4" w:space="0" w:color="auto"/>
              <w:right w:val="single" w:sz="4" w:space="0" w:color="auto"/>
            </w:tcBorders>
            <w:noWrap/>
            <w:vAlign w:val="bottom"/>
          </w:tcPr>
          <w:p w14:paraId="41D20BE4" w14:textId="77777777" w:rsidR="008A7756" w:rsidRDefault="008A7756" w:rsidP="00B6592C">
            <w:pPr>
              <w:jc w:val="both"/>
              <w:rPr>
                <w:rFonts w:eastAsia="Times New Roman" w:cs="Times New Roman"/>
                <w:lang w:eastAsia="it-IT"/>
              </w:rPr>
            </w:pPr>
            <w:r>
              <w:rPr>
                <w:rFonts w:eastAsia="Times New Roman" w:cs="Times New Roman"/>
                <w:lang w:eastAsia="it-IT"/>
              </w:rPr>
              <w:t>+5,3%</w:t>
            </w:r>
          </w:p>
        </w:tc>
        <w:tc>
          <w:tcPr>
            <w:tcW w:w="1842" w:type="dxa"/>
            <w:tcBorders>
              <w:top w:val="nil"/>
              <w:left w:val="nil"/>
              <w:bottom w:val="single" w:sz="4" w:space="0" w:color="auto"/>
              <w:right w:val="single" w:sz="4" w:space="0" w:color="auto"/>
            </w:tcBorders>
            <w:noWrap/>
            <w:vAlign w:val="bottom"/>
          </w:tcPr>
          <w:p w14:paraId="321F0039" w14:textId="77777777" w:rsidR="008A7756" w:rsidRDefault="008A7756" w:rsidP="00B6592C">
            <w:pPr>
              <w:jc w:val="both"/>
              <w:rPr>
                <w:rFonts w:eastAsia="Times New Roman" w:cs="Times New Roman"/>
                <w:lang w:eastAsia="it-IT"/>
              </w:rPr>
            </w:pPr>
            <w:r>
              <w:rPr>
                <w:rFonts w:eastAsia="Times New Roman" w:cs="Times New Roman"/>
                <w:lang w:eastAsia="it-IT"/>
              </w:rPr>
              <w:t>+4,4%</w:t>
            </w:r>
          </w:p>
        </w:tc>
      </w:tr>
      <w:tr w:rsidR="008A7756" w14:paraId="329296DD" w14:textId="77777777" w:rsidTr="00B6592C">
        <w:trPr>
          <w:trHeight w:val="315"/>
        </w:trPr>
        <w:tc>
          <w:tcPr>
            <w:tcW w:w="1940" w:type="dxa"/>
            <w:tcBorders>
              <w:top w:val="nil"/>
              <w:left w:val="single" w:sz="4" w:space="0" w:color="auto"/>
              <w:bottom w:val="single" w:sz="4" w:space="0" w:color="auto"/>
              <w:right w:val="single" w:sz="4" w:space="0" w:color="auto"/>
            </w:tcBorders>
            <w:noWrap/>
            <w:vAlign w:val="bottom"/>
            <w:hideMark/>
          </w:tcPr>
          <w:p w14:paraId="58D1A62A" w14:textId="77777777" w:rsidR="008A7756" w:rsidRDefault="008A7756" w:rsidP="008A7756">
            <w:pPr>
              <w:rPr>
                <w:rFonts w:eastAsia="Times New Roman" w:cs="Times New Roman"/>
                <w:b/>
                <w:lang w:eastAsia="it-IT"/>
              </w:rPr>
            </w:pPr>
            <w:r>
              <w:rPr>
                <w:rFonts w:eastAsia="Times New Roman" w:cs="Times New Roman"/>
                <w:b/>
                <w:lang w:eastAsia="it-IT"/>
              </w:rPr>
              <w:t>Canoni di locazione</w:t>
            </w:r>
          </w:p>
        </w:tc>
        <w:tc>
          <w:tcPr>
            <w:tcW w:w="1903" w:type="dxa"/>
            <w:tcBorders>
              <w:top w:val="nil"/>
              <w:left w:val="nil"/>
              <w:bottom w:val="single" w:sz="4" w:space="0" w:color="auto"/>
              <w:right w:val="single" w:sz="4" w:space="0" w:color="auto"/>
            </w:tcBorders>
            <w:noWrap/>
            <w:vAlign w:val="bottom"/>
          </w:tcPr>
          <w:p w14:paraId="7DE07C9C" w14:textId="77777777" w:rsidR="008A7756" w:rsidRDefault="008A7756" w:rsidP="00B6592C">
            <w:pPr>
              <w:jc w:val="both"/>
              <w:rPr>
                <w:rFonts w:eastAsia="Times New Roman" w:cs="Times New Roman"/>
                <w:lang w:eastAsia="it-IT"/>
              </w:rPr>
            </w:pPr>
            <w:r>
              <w:rPr>
                <w:rFonts w:eastAsia="Times New Roman" w:cs="Times New Roman"/>
                <w:lang w:eastAsia="it-IT"/>
              </w:rPr>
              <w:t>+3,4%</w:t>
            </w:r>
          </w:p>
        </w:tc>
        <w:tc>
          <w:tcPr>
            <w:tcW w:w="2126" w:type="dxa"/>
            <w:tcBorders>
              <w:top w:val="nil"/>
              <w:left w:val="nil"/>
              <w:bottom w:val="single" w:sz="4" w:space="0" w:color="auto"/>
              <w:right w:val="single" w:sz="4" w:space="0" w:color="auto"/>
            </w:tcBorders>
            <w:noWrap/>
            <w:vAlign w:val="bottom"/>
          </w:tcPr>
          <w:p w14:paraId="28196755" w14:textId="77777777" w:rsidR="008A7756" w:rsidRDefault="008A7756" w:rsidP="00B6592C">
            <w:pPr>
              <w:jc w:val="both"/>
              <w:rPr>
                <w:rFonts w:eastAsia="Times New Roman" w:cs="Times New Roman"/>
                <w:lang w:eastAsia="it-IT"/>
              </w:rPr>
            </w:pPr>
            <w:r>
              <w:rPr>
                <w:rFonts w:eastAsia="Times New Roman" w:cs="Times New Roman"/>
                <w:lang w:eastAsia="it-IT"/>
              </w:rPr>
              <w:t>+5,6%</w:t>
            </w:r>
          </w:p>
        </w:tc>
        <w:tc>
          <w:tcPr>
            <w:tcW w:w="1843" w:type="dxa"/>
            <w:tcBorders>
              <w:top w:val="nil"/>
              <w:left w:val="nil"/>
              <w:bottom w:val="single" w:sz="4" w:space="0" w:color="auto"/>
              <w:right w:val="single" w:sz="4" w:space="0" w:color="auto"/>
            </w:tcBorders>
            <w:noWrap/>
            <w:vAlign w:val="bottom"/>
          </w:tcPr>
          <w:p w14:paraId="719DE8B0" w14:textId="77777777" w:rsidR="008A7756" w:rsidRDefault="008A7756" w:rsidP="00B6592C">
            <w:pPr>
              <w:jc w:val="both"/>
              <w:rPr>
                <w:rFonts w:eastAsia="Times New Roman" w:cs="Times New Roman"/>
                <w:lang w:eastAsia="it-IT"/>
              </w:rPr>
            </w:pPr>
            <w:r>
              <w:rPr>
                <w:rFonts w:eastAsia="Times New Roman" w:cs="Times New Roman"/>
                <w:lang w:eastAsia="it-IT"/>
              </w:rPr>
              <w:t>+2,0%</w:t>
            </w:r>
          </w:p>
        </w:tc>
        <w:tc>
          <w:tcPr>
            <w:tcW w:w="1842" w:type="dxa"/>
            <w:tcBorders>
              <w:top w:val="nil"/>
              <w:left w:val="nil"/>
              <w:bottom w:val="single" w:sz="4" w:space="0" w:color="auto"/>
              <w:right w:val="single" w:sz="4" w:space="0" w:color="auto"/>
            </w:tcBorders>
            <w:noWrap/>
            <w:vAlign w:val="bottom"/>
          </w:tcPr>
          <w:p w14:paraId="51F4ACB6" w14:textId="77777777" w:rsidR="008A7756" w:rsidRDefault="008A7756" w:rsidP="00B6592C">
            <w:pPr>
              <w:jc w:val="both"/>
              <w:rPr>
                <w:rFonts w:eastAsia="Times New Roman" w:cs="Times New Roman"/>
                <w:lang w:eastAsia="it-IT"/>
              </w:rPr>
            </w:pPr>
            <w:r>
              <w:rPr>
                <w:rFonts w:eastAsia="Times New Roman" w:cs="Times New Roman"/>
                <w:lang w:eastAsia="it-IT"/>
              </w:rPr>
              <w:t>+2,1%</w:t>
            </w:r>
          </w:p>
        </w:tc>
      </w:tr>
    </w:tbl>
    <w:p w14:paraId="3CB26078" w14:textId="77777777" w:rsidR="008A7756" w:rsidRPr="000C547C" w:rsidRDefault="008A7756" w:rsidP="008A7756">
      <w:pPr>
        <w:jc w:val="both"/>
        <w:rPr>
          <w:rFonts w:eastAsia="Calibri" w:cs="Times New Roman"/>
        </w:rPr>
      </w:pPr>
    </w:p>
    <w:p w14:paraId="0E6DCAF0" w14:textId="77777777" w:rsidR="00E653B7" w:rsidRDefault="00E653B7" w:rsidP="008A7756">
      <w:pPr>
        <w:spacing w:after="0" w:line="240" w:lineRule="auto"/>
        <w:jc w:val="center"/>
        <w:rPr>
          <w:b/>
          <w:bCs/>
          <w:color w:val="C00000"/>
          <w:sz w:val="28"/>
          <w:szCs w:val="28"/>
        </w:rPr>
      </w:pPr>
    </w:p>
    <w:p w14:paraId="4BA148AB" w14:textId="31F4910F" w:rsidR="008A7756" w:rsidRDefault="008A7756" w:rsidP="008A7756">
      <w:pPr>
        <w:spacing w:after="0" w:line="240" w:lineRule="auto"/>
        <w:jc w:val="center"/>
        <w:rPr>
          <w:b/>
          <w:bCs/>
          <w:color w:val="C00000"/>
          <w:sz w:val="28"/>
          <w:szCs w:val="28"/>
        </w:rPr>
      </w:pPr>
      <w:proofErr w:type="gramStart"/>
      <w:r w:rsidRPr="00373003">
        <w:rPr>
          <w:b/>
          <w:bCs/>
          <w:color w:val="C00000"/>
          <w:sz w:val="28"/>
          <w:szCs w:val="28"/>
        </w:rPr>
        <w:t>TREND</w:t>
      </w:r>
      <w:proofErr w:type="gramEnd"/>
      <w:r w:rsidRPr="00373003">
        <w:rPr>
          <w:b/>
          <w:bCs/>
          <w:color w:val="C00000"/>
          <w:sz w:val="28"/>
          <w:szCs w:val="28"/>
        </w:rPr>
        <w:t xml:space="preserve"> PREZZI E LOCAZIONI IMMOBILI PER L’IMPRESA </w:t>
      </w:r>
      <w:r>
        <w:rPr>
          <w:b/>
          <w:bCs/>
          <w:color w:val="C00000"/>
          <w:sz w:val="28"/>
          <w:szCs w:val="28"/>
        </w:rPr>
        <w:t>-</w:t>
      </w:r>
      <w:r w:rsidRPr="00373003">
        <w:rPr>
          <w:b/>
          <w:bCs/>
          <w:color w:val="C00000"/>
          <w:sz w:val="28"/>
          <w:szCs w:val="28"/>
        </w:rPr>
        <w:t xml:space="preserve"> </w:t>
      </w:r>
      <w:r>
        <w:rPr>
          <w:b/>
          <w:bCs/>
          <w:color w:val="C00000"/>
          <w:sz w:val="28"/>
          <w:szCs w:val="28"/>
        </w:rPr>
        <w:t>MILANO</w:t>
      </w:r>
      <w:r w:rsidRPr="00373003">
        <w:rPr>
          <w:b/>
          <w:bCs/>
          <w:color w:val="C00000"/>
          <w:sz w:val="28"/>
          <w:szCs w:val="28"/>
        </w:rPr>
        <w:t xml:space="preserve"> </w:t>
      </w:r>
      <w:r>
        <w:rPr>
          <w:b/>
          <w:bCs/>
          <w:color w:val="C00000"/>
          <w:sz w:val="28"/>
          <w:szCs w:val="28"/>
        </w:rPr>
        <w:t>PROVINCIA</w:t>
      </w:r>
    </w:p>
    <w:p w14:paraId="056DA4BD" w14:textId="77777777" w:rsidR="008A7756" w:rsidRPr="00373003" w:rsidRDefault="008A7756" w:rsidP="008A7756">
      <w:pPr>
        <w:spacing w:after="0" w:line="240" w:lineRule="auto"/>
        <w:jc w:val="center"/>
        <w:rPr>
          <w:b/>
          <w:bCs/>
          <w:color w:val="C00000"/>
          <w:sz w:val="28"/>
          <w:szCs w:val="28"/>
        </w:rPr>
      </w:pPr>
      <w:r>
        <w:rPr>
          <w:b/>
          <w:bCs/>
          <w:color w:val="C00000"/>
          <w:sz w:val="28"/>
          <w:szCs w:val="28"/>
        </w:rPr>
        <w:t xml:space="preserve">(variazioni percentuali I </w:t>
      </w:r>
      <w:proofErr w:type="spellStart"/>
      <w:r>
        <w:rPr>
          <w:b/>
          <w:bCs/>
          <w:color w:val="C00000"/>
          <w:sz w:val="28"/>
          <w:szCs w:val="28"/>
        </w:rPr>
        <w:t>sem</w:t>
      </w:r>
      <w:proofErr w:type="spellEnd"/>
      <w:r>
        <w:rPr>
          <w:b/>
          <w:bCs/>
          <w:color w:val="C00000"/>
          <w:sz w:val="28"/>
          <w:szCs w:val="28"/>
        </w:rPr>
        <w:t xml:space="preserve"> 24 rispetto al II </w:t>
      </w:r>
      <w:proofErr w:type="spellStart"/>
      <w:r>
        <w:rPr>
          <w:b/>
          <w:bCs/>
          <w:color w:val="C00000"/>
          <w:sz w:val="28"/>
          <w:szCs w:val="28"/>
        </w:rPr>
        <w:t>sem</w:t>
      </w:r>
      <w:proofErr w:type="spellEnd"/>
      <w:r>
        <w:rPr>
          <w:b/>
          <w:bCs/>
          <w:color w:val="C00000"/>
          <w:sz w:val="28"/>
          <w:szCs w:val="28"/>
        </w:rPr>
        <w:t xml:space="preserve"> 23)</w:t>
      </w:r>
    </w:p>
    <w:p w14:paraId="20A3E9F7" w14:textId="77777777" w:rsidR="008A7756" w:rsidRPr="008A7756" w:rsidRDefault="008A7756" w:rsidP="00884AEC">
      <w:pPr>
        <w:spacing w:after="0"/>
        <w:jc w:val="both"/>
        <w:rPr>
          <w:b/>
          <w:bCs/>
          <w:color w:val="C00000"/>
        </w:rPr>
      </w:pPr>
      <w:r w:rsidRPr="008A7756">
        <w:rPr>
          <w:b/>
          <w:bCs/>
          <w:color w:val="C00000"/>
        </w:rPr>
        <w:t xml:space="preserve">CAPANNONI </w:t>
      </w:r>
    </w:p>
    <w:tbl>
      <w:tblPr>
        <w:tblW w:w="9796" w:type="dxa"/>
        <w:tblInd w:w="55" w:type="dxa"/>
        <w:tblCellMar>
          <w:left w:w="70" w:type="dxa"/>
          <w:right w:w="70" w:type="dxa"/>
        </w:tblCellMar>
        <w:tblLook w:val="04A0" w:firstRow="1" w:lastRow="0" w:firstColumn="1" w:lastColumn="0" w:noHBand="0" w:noVBand="1"/>
      </w:tblPr>
      <w:tblGrid>
        <w:gridCol w:w="1940"/>
        <w:gridCol w:w="2020"/>
        <w:gridCol w:w="2200"/>
        <w:gridCol w:w="1940"/>
        <w:gridCol w:w="1696"/>
      </w:tblGrid>
      <w:tr w:rsidR="008A7756" w14:paraId="21A3A39E" w14:textId="77777777" w:rsidTr="00B6592C">
        <w:trPr>
          <w:gridBefore w:val="1"/>
          <w:wBefore w:w="1940" w:type="dxa"/>
          <w:trHeight w:val="300"/>
        </w:trPr>
        <w:tc>
          <w:tcPr>
            <w:tcW w:w="2020" w:type="dxa"/>
            <w:tcBorders>
              <w:top w:val="single" w:sz="4" w:space="0" w:color="auto"/>
              <w:left w:val="single" w:sz="4" w:space="0" w:color="auto"/>
              <w:bottom w:val="single" w:sz="4" w:space="0" w:color="auto"/>
              <w:right w:val="single" w:sz="4" w:space="0" w:color="auto"/>
            </w:tcBorders>
            <w:noWrap/>
            <w:vAlign w:val="bottom"/>
          </w:tcPr>
          <w:p w14:paraId="61436987" w14:textId="3B553D37" w:rsidR="008A7756" w:rsidRDefault="008A7756" w:rsidP="00884AEC">
            <w:pPr>
              <w:spacing w:after="0" w:line="240" w:lineRule="auto"/>
              <w:rPr>
                <w:rFonts w:eastAsia="Times New Roman" w:cs="Times New Roman"/>
                <w:b/>
                <w:bCs/>
                <w:lang w:eastAsia="it-IT"/>
              </w:rPr>
            </w:pPr>
            <w:r>
              <w:rPr>
                <w:rFonts w:eastAsia="Times New Roman" w:cs="Times New Roman"/>
                <w:b/>
                <w:bCs/>
                <w:lang w:eastAsia="it-IT"/>
              </w:rPr>
              <w:t>Nuovo vicino alle arterie di comunicazione</w:t>
            </w:r>
          </w:p>
        </w:tc>
        <w:tc>
          <w:tcPr>
            <w:tcW w:w="2200" w:type="dxa"/>
            <w:tcBorders>
              <w:top w:val="single" w:sz="4" w:space="0" w:color="auto"/>
              <w:left w:val="nil"/>
              <w:bottom w:val="single" w:sz="4" w:space="0" w:color="auto"/>
              <w:right w:val="single" w:sz="4" w:space="0" w:color="auto"/>
            </w:tcBorders>
            <w:noWrap/>
            <w:vAlign w:val="bottom"/>
            <w:hideMark/>
          </w:tcPr>
          <w:p w14:paraId="72344831" w14:textId="77777777" w:rsidR="008A7756" w:rsidRDefault="008A7756" w:rsidP="00884AEC">
            <w:pPr>
              <w:spacing w:after="0" w:line="240" w:lineRule="auto"/>
              <w:rPr>
                <w:rFonts w:eastAsia="Times New Roman" w:cs="Times New Roman"/>
                <w:b/>
                <w:bCs/>
                <w:lang w:eastAsia="it-IT"/>
              </w:rPr>
            </w:pPr>
            <w:r>
              <w:rPr>
                <w:rFonts w:eastAsia="Times New Roman" w:cs="Times New Roman"/>
                <w:b/>
                <w:bCs/>
                <w:lang w:eastAsia="it-IT"/>
              </w:rPr>
              <w:t>Nuovo lontano dalle arterie di comunicazione</w:t>
            </w:r>
          </w:p>
        </w:tc>
        <w:tc>
          <w:tcPr>
            <w:tcW w:w="1940" w:type="dxa"/>
            <w:tcBorders>
              <w:top w:val="single" w:sz="4" w:space="0" w:color="auto"/>
              <w:left w:val="nil"/>
              <w:bottom w:val="single" w:sz="4" w:space="0" w:color="auto"/>
              <w:right w:val="single" w:sz="4" w:space="0" w:color="auto"/>
            </w:tcBorders>
            <w:noWrap/>
            <w:vAlign w:val="bottom"/>
            <w:hideMark/>
          </w:tcPr>
          <w:p w14:paraId="5AC26C12" w14:textId="77777777" w:rsidR="008A7756" w:rsidRDefault="008A7756" w:rsidP="00884AEC">
            <w:pPr>
              <w:spacing w:after="0" w:line="240" w:lineRule="auto"/>
              <w:rPr>
                <w:rFonts w:eastAsia="Times New Roman" w:cs="Times New Roman"/>
                <w:b/>
                <w:bCs/>
                <w:lang w:eastAsia="it-IT"/>
              </w:rPr>
            </w:pPr>
            <w:r>
              <w:rPr>
                <w:rFonts w:eastAsia="Times New Roman" w:cs="Times New Roman"/>
                <w:b/>
                <w:bCs/>
                <w:lang w:eastAsia="it-IT"/>
              </w:rPr>
              <w:t xml:space="preserve">Usato vicino alle arterie di comunicazione </w:t>
            </w:r>
          </w:p>
        </w:tc>
        <w:tc>
          <w:tcPr>
            <w:tcW w:w="1696" w:type="dxa"/>
            <w:tcBorders>
              <w:top w:val="single" w:sz="4" w:space="0" w:color="auto"/>
              <w:left w:val="nil"/>
              <w:bottom w:val="single" w:sz="4" w:space="0" w:color="auto"/>
              <w:right w:val="single" w:sz="4" w:space="0" w:color="auto"/>
            </w:tcBorders>
            <w:noWrap/>
            <w:vAlign w:val="bottom"/>
            <w:hideMark/>
          </w:tcPr>
          <w:p w14:paraId="6FB8DA82" w14:textId="501A367B" w:rsidR="008A7756" w:rsidRDefault="008A7756" w:rsidP="00884AEC">
            <w:pPr>
              <w:spacing w:after="0" w:line="240" w:lineRule="auto"/>
              <w:rPr>
                <w:rFonts w:eastAsia="Times New Roman" w:cs="Times New Roman"/>
                <w:b/>
                <w:bCs/>
                <w:lang w:eastAsia="it-IT"/>
              </w:rPr>
            </w:pPr>
            <w:r>
              <w:rPr>
                <w:rFonts w:eastAsia="Times New Roman" w:cs="Times New Roman"/>
                <w:b/>
                <w:bCs/>
                <w:lang w:eastAsia="it-IT"/>
              </w:rPr>
              <w:t>Usato lontano dalle arterie di comunicazione</w:t>
            </w:r>
          </w:p>
        </w:tc>
      </w:tr>
      <w:tr w:rsidR="008A7756" w14:paraId="384003C1" w14:textId="77777777" w:rsidTr="00B6592C">
        <w:trPr>
          <w:trHeight w:val="300"/>
        </w:trPr>
        <w:tc>
          <w:tcPr>
            <w:tcW w:w="1940" w:type="dxa"/>
            <w:tcBorders>
              <w:top w:val="single" w:sz="4" w:space="0" w:color="auto"/>
              <w:left w:val="single" w:sz="4" w:space="0" w:color="auto"/>
              <w:bottom w:val="single" w:sz="4" w:space="0" w:color="auto"/>
              <w:right w:val="single" w:sz="4" w:space="0" w:color="auto"/>
            </w:tcBorders>
            <w:noWrap/>
            <w:vAlign w:val="bottom"/>
            <w:hideMark/>
          </w:tcPr>
          <w:p w14:paraId="1DC89794" w14:textId="77777777" w:rsidR="008A7756" w:rsidRDefault="008A7756" w:rsidP="008A7756">
            <w:pPr>
              <w:spacing w:after="0" w:line="240" w:lineRule="auto"/>
              <w:rPr>
                <w:rFonts w:eastAsia="Times New Roman" w:cs="Times New Roman"/>
                <w:b/>
                <w:bCs/>
                <w:color w:val="FF0000"/>
                <w:highlight w:val="yellow"/>
                <w:lang w:eastAsia="it-IT"/>
              </w:rPr>
            </w:pPr>
            <w:r>
              <w:rPr>
                <w:rFonts w:eastAsia="Times New Roman" w:cs="Times New Roman"/>
                <w:b/>
                <w:bCs/>
                <w:lang w:eastAsia="it-IT"/>
              </w:rPr>
              <w:t xml:space="preserve">Prezzi </w:t>
            </w:r>
          </w:p>
        </w:tc>
        <w:tc>
          <w:tcPr>
            <w:tcW w:w="2020" w:type="dxa"/>
            <w:tcBorders>
              <w:top w:val="single" w:sz="4" w:space="0" w:color="auto"/>
              <w:left w:val="nil"/>
              <w:bottom w:val="single" w:sz="4" w:space="0" w:color="auto"/>
              <w:right w:val="single" w:sz="4" w:space="0" w:color="auto"/>
            </w:tcBorders>
            <w:noWrap/>
            <w:vAlign w:val="bottom"/>
          </w:tcPr>
          <w:p w14:paraId="336BBE91"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+0,8%</w:t>
            </w:r>
          </w:p>
        </w:tc>
        <w:tc>
          <w:tcPr>
            <w:tcW w:w="2200" w:type="dxa"/>
            <w:tcBorders>
              <w:top w:val="single" w:sz="4" w:space="0" w:color="auto"/>
              <w:left w:val="nil"/>
              <w:bottom w:val="single" w:sz="4" w:space="0" w:color="auto"/>
              <w:right w:val="single" w:sz="4" w:space="0" w:color="auto"/>
            </w:tcBorders>
            <w:noWrap/>
            <w:vAlign w:val="bottom"/>
          </w:tcPr>
          <w:p w14:paraId="477A8430"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+1,0%</w:t>
            </w:r>
          </w:p>
        </w:tc>
        <w:tc>
          <w:tcPr>
            <w:tcW w:w="1940" w:type="dxa"/>
            <w:tcBorders>
              <w:top w:val="single" w:sz="4" w:space="0" w:color="auto"/>
              <w:left w:val="nil"/>
              <w:bottom w:val="single" w:sz="4" w:space="0" w:color="auto"/>
              <w:right w:val="single" w:sz="4" w:space="0" w:color="auto"/>
            </w:tcBorders>
            <w:noWrap/>
            <w:vAlign w:val="bottom"/>
          </w:tcPr>
          <w:p w14:paraId="422DF22A"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+1,6%</w:t>
            </w:r>
          </w:p>
        </w:tc>
        <w:tc>
          <w:tcPr>
            <w:tcW w:w="1696" w:type="dxa"/>
            <w:tcBorders>
              <w:top w:val="single" w:sz="4" w:space="0" w:color="auto"/>
              <w:left w:val="nil"/>
              <w:bottom w:val="single" w:sz="4" w:space="0" w:color="auto"/>
              <w:right w:val="single" w:sz="4" w:space="0" w:color="auto"/>
            </w:tcBorders>
            <w:noWrap/>
            <w:vAlign w:val="bottom"/>
          </w:tcPr>
          <w:p w14:paraId="77B00F18"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+1,7%</w:t>
            </w:r>
          </w:p>
        </w:tc>
      </w:tr>
      <w:tr w:rsidR="008A7756" w14:paraId="1E56A746" w14:textId="77777777" w:rsidTr="00B6592C">
        <w:trPr>
          <w:trHeight w:val="300"/>
        </w:trPr>
        <w:tc>
          <w:tcPr>
            <w:tcW w:w="1940" w:type="dxa"/>
            <w:tcBorders>
              <w:top w:val="single" w:sz="4" w:space="0" w:color="auto"/>
              <w:left w:val="single" w:sz="4" w:space="0" w:color="auto"/>
              <w:bottom w:val="single" w:sz="4" w:space="0" w:color="auto"/>
              <w:right w:val="single" w:sz="4" w:space="0" w:color="auto"/>
            </w:tcBorders>
            <w:noWrap/>
            <w:vAlign w:val="bottom"/>
            <w:hideMark/>
          </w:tcPr>
          <w:p w14:paraId="0ADCDCA8" w14:textId="77777777" w:rsidR="008A7756" w:rsidRDefault="008A7756" w:rsidP="008A7756">
            <w:pPr>
              <w:spacing w:after="0" w:line="240" w:lineRule="auto"/>
              <w:rPr>
                <w:rFonts w:eastAsia="Times New Roman" w:cs="Times New Roman"/>
                <w:b/>
                <w:bCs/>
                <w:lang w:eastAsia="it-IT"/>
              </w:rPr>
            </w:pPr>
            <w:r>
              <w:rPr>
                <w:rFonts w:eastAsia="Times New Roman" w:cs="Times New Roman"/>
                <w:b/>
                <w:bCs/>
                <w:lang w:eastAsia="it-IT"/>
              </w:rPr>
              <w:t>Canoni di locazione</w:t>
            </w:r>
          </w:p>
        </w:tc>
        <w:tc>
          <w:tcPr>
            <w:tcW w:w="2020" w:type="dxa"/>
            <w:tcBorders>
              <w:top w:val="single" w:sz="4" w:space="0" w:color="auto"/>
              <w:left w:val="nil"/>
              <w:bottom w:val="single" w:sz="4" w:space="0" w:color="auto"/>
              <w:right w:val="single" w:sz="4" w:space="0" w:color="auto"/>
            </w:tcBorders>
            <w:noWrap/>
            <w:vAlign w:val="bottom"/>
          </w:tcPr>
          <w:p w14:paraId="5609CED4"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+4,6%</w:t>
            </w:r>
          </w:p>
        </w:tc>
        <w:tc>
          <w:tcPr>
            <w:tcW w:w="2200" w:type="dxa"/>
            <w:tcBorders>
              <w:top w:val="single" w:sz="4" w:space="0" w:color="auto"/>
              <w:left w:val="nil"/>
              <w:bottom w:val="single" w:sz="4" w:space="0" w:color="auto"/>
              <w:right w:val="single" w:sz="4" w:space="0" w:color="auto"/>
            </w:tcBorders>
            <w:noWrap/>
            <w:vAlign w:val="bottom"/>
          </w:tcPr>
          <w:p w14:paraId="515084E3"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+4,3%</w:t>
            </w:r>
          </w:p>
        </w:tc>
        <w:tc>
          <w:tcPr>
            <w:tcW w:w="1940" w:type="dxa"/>
            <w:tcBorders>
              <w:top w:val="single" w:sz="4" w:space="0" w:color="auto"/>
              <w:left w:val="nil"/>
              <w:bottom w:val="single" w:sz="4" w:space="0" w:color="auto"/>
              <w:right w:val="single" w:sz="4" w:space="0" w:color="auto"/>
            </w:tcBorders>
            <w:noWrap/>
            <w:vAlign w:val="bottom"/>
          </w:tcPr>
          <w:p w14:paraId="1906EB8F"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+4,5%</w:t>
            </w:r>
          </w:p>
        </w:tc>
        <w:tc>
          <w:tcPr>
            <w:tcW w:w="1696" w:type="dxa"/>
            <w:tcBorders>
              <w:top w:val="single" w:sz="4" w:space="0" w:color="auto"/>
              <w:left w:val="nil"/>
              <w:bottom w:val="single" w:sz="4" w:space="0" w:color="auto"/>
              <w:right w:val="single" w:sz="4" w:space="0" w:color="auto"/>
            </w:tcBorders>
            <w:noWrap/>
            <w:vAlign w:val="bottom"/>
          </w:tcPr>
          <w:p w14:paraId="3987806D" w14:textId="77777777" w:rsidR="008A7756" w:rsidRDefault="008A7756" w:rsidP="00B6592C">
            <w:pPr>
              <w:spacing w:after="0" w:line="240" w:lineRule="auto"/>
              <w:jc w:val="both"/>
              <w:rPr>
                <w:rFonts w:eastAsia="Times New Roman" w:cs="Times New Roman"/>
                <w:bCs/>
                <w:lang w:eastAsia="it-IT"/>
              </w:rPr>
            </w:pPr>
            <w:r>
              <w:rPr>
                <w:rFonts w:eastAsia="Times New Roman" w:cs="Times New Roman"/>
                <w:bCs/>
                <w:lang w:eastAsia="it-IT"/>
              </w:rPr>
              <w:t>+5,0%</w:t>
            </w:r>
          </w:p>
        </w:tc>
      </w:tr>
    </w:tbl>
    <w:p w14:paraId="7D5BDB74" w14:textId="77777777" w:rsidR="008A7756" w:rsidRDefault="008A7756" w:rsidP="008A7756">
      <w:pPr>
        <w:jc w:val="both"/>
        <w:rPr>
          <w:rFonts w:eastAsia="Calibri" w:cs="Times New Roman"/>
        </w:rPr>
      </w:pPr>
    </w:p>
    <w:p w14:paraId="47FEE5BB" w14:textId="77777777" w:rsidR="008A7756" w:rsidRPr="008A7756" w:rsidRDefault="008A7756" w:rsidP="00884AEC">
      <w:pPr>
        <w:spacing w:after="0"/>
        <w:jc w:val="both"/>
        <w:rPr>
          <w:b/>
          <w:bCs/>
          <w:color w:val="C00000"/>
        </w:rPr>
      </w:pPr>
      <w:r w:rsidRPr="008A7756">
        <w:rPr>
          <w:b/>
          <w:bCs/>
          <w:color w:val="C00000"/>
        </w:rPr>
        <w:t xml:space="preserve">LABORATORI </w:t>
      </w:r>
    </w:p>
    <w:tbl>
      <w:tblPr>
        <w:tblW w:w="3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7"/>
        <w:gridCol w:w="1619"/>
      </w:tblGrid>
      <w:tr w:rsidR="008A7756" w14:paraId="770822E3" w14:textId="77777777" w:rsidTr="00B6592C">
        <w:trPr>
          <w:trHeight w:val="315"/>
        </w:trPr>
        <w:tc>
          <w:tcPr>
            <w:tcW w:w="2067" w:type="dxa"/>
            <w:tcBorders>
              <w:top w:val="single" w:sz="4" w:space="0" w:color="auto"/>
              <w:left w:val="single" w:sz="4" w:space="0" w:color="auto"/>
              <w:bottom w:val="single" w:sz="4" w:space="0" w:color="auto"/>
              <w:right w:val="single" w:sz="4" w:space="0" w:color="auto"/>
            </w:tcBorders>
            <w:noWrap/>
            <w:vAlign w:val="center"/>
            <w:hideMark/>
          </w:tcPr>
          <w:p w14:paraId="18C002B0" w14:textId="77777777" w:rsidR="008A7756" w:rsidRDefault="008A7756" w:rsidP="008A7756">
            <w:pPr>
              <w:rPr>
                <w:rFonts w:eastAsia="Times New Roman" w:cs="Times New Roman"/>
                <w:b/>
              </w:rPr>
            </w:pPr>
            <w:r>
              <w:rPr>
                <w:rFonts w:eastAsia="Times New Roman" w:cs="Times New Roman"/>
                <w:b/>
              </w:rPr>
              <w:t xml:space="preserve">Prezzi </w:t>
            </w:r>
          </w:p>
        </w:tc>
        <w:tc>
          <w:tcPr>
            <w:tcW w:w="1619" w:type="dxa"/>
            <w:tcBorders>
              <w:top w:val="single" w:sz="4" w:space="0" w:color="auto"/>
              <w:left w:val="single" w:sz="4" w:space="0" w:color="auto"/>
              <w:bottom w:val="single" w:sz="4" w:space="0" w:color="auto"/>
              <w:right w:val="single" w:sz="4" w:space="0" w:color="auto"/>
            </w:tcBorders>
            <w:noWrap/>
            <w:vAlign w:val="center"/>
          </w:tcPr>
          <w:p w14:paraId="1933E5EB" w14:textId="77777777" w:rsidR="008A7756" w:rsidRDefault="008A7756" w:rsidP="00B6592C">
            <w:pPr>
              <w:spacing w:line="360" w:lineRule="auto"/>
              <w:jc w:val="both"/>
              <w:rPr>
                <w:rFonts w:eastAsia="Times New Roman" w:cs="Times New Roman"/>
              </w:rPr>
            </w:pPr>
            <w:r>
              <w:rPr>
                <w:rFonts w:eastAsia="Times New Roman" w:cs="Times New Roman"/>
              </w:rPr>
              <w:t>+0,7%</w:t>
            </w:r>
          </w:p>
        </w:tc>
      </w:tr>
      <w:tr w:rsidR="008A7756" w:rsidRPr="00EE64E4" w14:paraId="54F7C1E6" w14:textId="77777777" w:rsidTr="00B6592C">
        <w:trPr>
          <w:trHeight w:val="315"/>
        </w:trPr>
        <w:tc>
          <w:tcPr>
            <w:tcW w:w="2067" w:type="dxa"/>
            <w:tcBorders>
              <w:top w:val="single" w:sz="4" w:space="0" w:color="auto"/>
              <w:left w:val="single" w:sz="4" w:space="0" w:color="auto"/>
              <w:bottom w:val="single" w:sz="4" w:space="0" w:color="auto"/>
              <w:right w:val="single" w:sz="4" w:space="0" w:color="auto"/>
            </w:tcBorders>
            <w:noWrap/>
            <w:vAlign w:val="center"/>
            <w:hideMark/>
          </w:tcPr>
          <w:p w14:paraId="0E2F595A" w14:textId="77777777" w:rsidR="008A7756" w:rsidRDefault="008A7756" w:rsidP="008A7756">
            <w:pPr>
              <w:rPr>
                <w:rFonts w:eastAsia="Times New Roman" w:cs="Times New Roman"/>
                <w:b/>
              </w:rPr>
            </w:pPr>
            <w:r>
              <w:rPr>
                <w:rFonts w:eastAsia="Times New Roman" w:cs="Times New Roman"/>
                <w:b/>
              </w:rPr>
              <w:t>Canoni di locazione</w:t>
            </w:r>
          </w:p>
        </w:tc>
        <w:tc>
          <w:tcPr>
            <w:tcW w:w="1619" w:type="dxa"/>
            <w:tcBorders>
              <w:top w:val="single" w:sz="4" w:space="0" w:color="auto"/>
              <w:left w:val="single" w:sz="4" w:space="0" w:color="auto"/>
              <w:bottom w:val="single" w:sz="4" w:space="0" w:color="auto"/>
              <w:right w:val="single" w:sz="4" w:space="0" w:color="auto"/>
            </w:tcBorders>
            <w:noWrap/>
            <w:vAlign w:val="center"/>
          </w:tcPr>
          <w:p w14:paraId="498380FA" w14:textId="77777777" w:rsidR="008A7756" w:rsidRDefault="008A7756" w:rsidP="00B6592C">
            <w:pPr>
              <w:spacing w:line="360" w:lineRule="auto"/>
              <w:jc w:val="both"/>
              <w:rPr>
                <w:rFonts w:eastAsia="Times New Roman" w:cs="Times New Roman"/>
              </w:rPr>
            </w:pPr>
            <w:r>
              <w:rPr>
                <w:rFonts w:eastAsia="Times New Roman" w:cs="Times New Roman"/>
              </w:rPr>
              <w:t>+3,1%</w:t>
            </w:r>
          </w:p>
        </w:tc>
      </w:tr>
    </w:tbl>
    <w:p w14:paraId="3FD66E8B" w14:textId="77777777" w:rsidR="008A7756" w:rsidRDefault="008A7756" w:rsidP="008A7756">
      <w:pPr>
        <w:jc w:val="both"/>
      </w:pPr>
    </w:p>
    <w:p w14:paraId="205BAA1B" w14:textId="77777777" w:rsidR="008A7756" w:rsidRPr="008A7756" w:rsidRDefault="008A7756" w:rsidP="00884AEC">
      <w:pPr>
        <w:spacing w:after="0"/>
        <w:jc w:val="both"/>
        <w:rPr>
          <w:b/>
          <w:bCs/>
          <w:color w:val="C00000"/>
        </w:rPr>
      </w:pPr>
      <w:r w:rsidRPr="008A7756">
        <w:rPr>
          <w:b/>
          <w:bCs/>
          <w:color w:val="C00000"/>
        </w:rPr>
        <w:t>NEGOZI</w:t>
      </w:r>
    </w:p>
    <w:tbl>
      <w:tblPr>
        <w:tblW w:w="6160" w:type="dxa"/>
        <w:tblInd w:w="55" w:type="dxa"/>
        <w:tblCellMar>
          <w:left w:w="70" w:type="dxa"/>
          <w:right w:w="70" w:type="dxa"/>
        </w:tblCellMar>
        <w:tblLook w:val="04A0" w:firstRow="1" w:lastRow="0" w:firstColumn="1" w:lastColumn="0" w:noHBand="0" w:noVBand="1"/>
      </w:tblPr>
      <w:tblGrid>
        <w:gridCol w:w="1940"/>
        <w:gridCol w:w="2020"/>
        <w:gridCol w:w="2200"/>
      </w:tblGrid>
      <w:tr w:rsidR="008A7756" w14:paraId="2E6A9A10" w14:textId="77777777" w:rsidTr="00B6592C">
        <w:trPr>
          <w:trHeight w:val="315"/>
        </w:trPr>
        <w:tc>
          <w:tcPr>
            <w:tcW w:w="1940" w:type="dxa"/>
            <w:tcBorders>
              <w:top w:val="single" w:sz="4" w:space="0" w:color="auto"/>
              <w:left w:val="single" w:sz="4" w:space="0" w:color="auto"/>
              <w:bottom w:val="single" w:sz="4" w:space="0" w:color="auto"/>
              <w:right w:val="single" w:sz="4" w:space="0" w:color="auto"/>
            </w:tcBorders>
            <w:noWrap/>
            <w:vAlign w:val="center"/>
            <w:hideMark/>
          </w:tcPr>
          <w:p w14:paraId="77999EF4" w14:textId="77777777" w:rsidR="008A7756" w:rsidRDefault="008A7756" w:rsidP="00B6592C">
            <w:pPr>
              <w:jc w:val="both"/>
              <w:rPr>
                <w:rFonts w:eastAsia="Times New Roman" w:cs="Times New Roman"/>
                <w:b/>
                <w:bCs/>
              </w:rPr>
            </w:pPr>
          </w:p>
        </w:tc>
        <w:tc>
          <w:tcPr>
            <w:tcW w:w="2020" w:type="dxa"/>
            <w:tcBorders>
              <w:top w:val="single" w:sz="4" w:space="0" w:color="auto"/>
              <w:left w:val="nil"/>
              <w:bottom w:val="single" w:sz="4" w:space="0" w:color="auto"/>
              <w:right w:val="single" w:sz="4" w:space="0" w:color="auto"/>
            </w:tcBorders>
            <w:noWrap/>
            <w:vAlign w:val="center"/>
            <w:hideMark/>
          </w:tcPr>
          <w:p w14:paraId="5B73EBFA" w14:textId="77777777" w:rsidR="008A7756" w:rsidRDefault="008A7756" w:rsidP="00B6592C">
            <w:pPr>
              <w:jc w:val="both"/>
              <w:rPr>
                <w:rFonts w:eastAsia="Times New Roman" w:cs="Times New Roman"/>
                <w:b/>
                <w:bCs/>
              </w:rPr>
            </w:pPr>
            <w:r>
              <w:rPr>
                <w:rFonts w:eastAsia="Times New Roman" w:cs="Times New Roman"/>
                <w:b/>
                <w:bCs/>
              </w:rPr>
              <w:t>Vie di passaggio</w:t>
            </w:r>
          </w:p>
        </w:tc>
        <w:tc>
          <w:tcPr>
            <w:tcW w:w="2200" w:type="dxa"/>
            <w:tcBorders>
              <w:top w:val="single" w:sz="4" w:space="0" w:color="auto"/>
              <w:left w:val="nil"/>
              <w:bottom w:val="single" w:sz="4" w:space="0" w:color="auto"/>
              <w:right w:val="single" w:sz="4" w:space="0" w:color="auto"/>
            </w:tcBorders>
            <w:noWrap/>
            <w:vAlign w:val="center"/>
            <w:hideMark/>
          </w:tcPr>
          <w:p w14:paraId="0930C10C" w14:textId="77777777" w:rsidR="008A7756" w:rsidRDefault="008A7756" w:rsidP="00B6592C">
            <w:pPr>
              <w:jc w:val="both"/>
              <w:rPr>
                <w:rFonts w:eastAsia="Times New Roman" w:cs="Times New Roman"/>
                <w:b/>
                <w:bCs/>
              </w:rPr>
            </w:pPr>
            <w:r>
              <w:rPr>
                <w:rFonts w:eastAsia="Times New Roman" w:cs="Times New Roman"/>
                <w:b/>
                <w:bCs/>
              </w:rPr>
              <w:t>Vie non di passaggio</w:t>
            </w:r>
          </w:p>
        </w:tc>
      </w:tr>
      <w:tr w:rsidR="008A7756" w14:paraId="0AF952C2" w14:textId="77777777" w:rsidTr="00B6592C">
        <w:trPr>
          <w:trHeight w:val="315"/>
        </w:trPr>
        <w:tc>
          <w:tcPr>
            <w:tcW w:w="1940" w:type="dxa"/>
            <w:tcBorders>
              <w:top w:val="nil"/>
              <w:left w:val="single" w:sz="4" w:space="0" w:color="auto"/>
              <w:bottom w:val="single" w:sz="4" w:space="0" w:color="auto"/>
              <w:right w:val="single" w:sz="4" w:space="0" w:color="auto"/>
            </w:tcBorders>
            <w:noWrap/>
            <w:vAlign w:val="center"/>
            <w:hideMark/>
          </w:tcPr>
          <w:p w14:paraId="4AA53433" w14:textId="77777777" w:rsidR="008A7756" w:rsidRDefault="008A7756" w:rsidP="008A7756">
            <w:pPr>
              <w:rPr>
                <w:rFonts w:eastAsia="Times New Roman" w:cs="Times New Roman"/>
                <w:b/>
                <w:bCs/>
              </w:rPr>
            </w:pPr>
            <w:r>
              <w:rPr>
                <w:rFonts w:eastAsia="Times New Roman" w:cs="Times New Roman"/>
                <w:b/>
                <w:bCs/>
              </w:rPr>
              <w:t>Prezzi</w:t>
            </w:r>
          </w:p>
        </w:tc>
        <w:tc>
          <w:tcPr>
            <w:tcW w:w="2020" w:type="dxa"/>
            <w:tcBorders>
              <w:top w:val="nil"/>
              <w:left w:val="nil"/>
              <w:bottom w:val="single" w:sz="4" w:space="0" w:color="auto"/>
              <w:right w:val="single" w:sz="4" w:space="0" w:color="auto"/>
            </w:tcBorders>
            <w:noWrap/>
            <w:vAlign w:val="center"/>
          </w:tcPr>
          <w:p w14:paraId="3ED060F1" w14:textId="77777777" w:rsidR="008A7756" w:rsidRDefault="008A7756" w:rsidP="00B6592C">
            <w:pPr>
              <w:jc w:val="both"/>
              <w:rPr>
                <w:rFonts w:eastAsia="Times New Roman" w:cs="Times New Roman"/>
              </w:rPr>
            </w:pPr>
            <w:r>
              <w:rPr>
                <w:rFonts w:eastAsia="Times New Roman" w:cs="Times New Roman"/>
              </w:rPr>
              <w:t>-0,4%</w:t>
            </w:r>
          </w:p>
        </w:tc>
        <w:tc>
          <w:tcPr>
            <w:tcW w:w="2200" w:type="dxa"/>
            <w:tcBorders>
              <w:top w:val="nil"/>
              <w:left w:val="nil"/>
              <w:bottom w:val="single" w:sz="4" w:space="0" w:color="auto"/>
              <w:right w:val="single" w:sz="4" w:space="0" w:color="auto"/>
            </w:tcBorders>
            <w:noWrap/>
            <w:vAlign w:val="center"/>
          </w:tcPr>
          <w:p w14:paraId="5B23E447" w14:textId="77777777" w:rsidR="008A7756" w:rsidRDefault="008A7756" w:rsidP="00B6592C">
            <w:pPr>
              <w:jc w:val="both"/>
              <w:rPr>
                <w:rFonts w:eastAsia="Times New Roman" w:cs="Times New Roman"/>
              </w:rPr>
            </w:pPr>
            <w:r>
              <w:rPr>
                <w:rFonts w:eastAsia="Times New Roman" w:cs="Times New Roman"/>
              </w:rPr>
              <w:t>+0,3%</w:t>
            </w:r>
          </w:p>
        </w:tc>
      </w:tr>
      <w:tr w:rsidR="008A7756" w14:paraId="7E64C07D" w14:textId="77777777" w:rsidTr="00B6592C">
        <w:trPr>
          <w:trHeight w:val="168"/>
        </w:trPr>
        <w:tc>
          <w:tcPr>
            <w:tcW w:w="1940" w:type="dxa"/>
            <w:tcBorders>
              <w:top w:val="nil"/>
              <w:left w:val="single" w:sz="4" w:space="0" w:color="auto"/>
              <w:bottom w:val="single" w:sz="4" w:space="0" w:color="auto"/>
              <w:right w:val="single" w:sz="4" w:space="0" w:color="auto"/>
            </w:tcBorders>
            <w:noWrap/>
            <w:vAlign w:val="center"/>
            <w:hideMark/>
          </w:tcPr>
          <w:p w14:paraId="19E8A396" w14:textId="77777777" w:rsidR="008A7756" w:rsidRDefault="008A7756" w:rsidP="008A7756">
            <w:pPr>
              <w:rPr>
                <w:rFonts w:eastAsia="Times New Roman" w:cs="Times New Roman"/>
                <w:b/>
                <w:bCs/>
              </w:rPr>
            </w:pPr>
            <w:r>
              <w:rPr>
                <w:rFonts w:eastAsia="Times New Roman" w:cs="Times New Roman"/>
                <w:b/>
                <w:bCs/>
              </w:rPr>
              <w:t>Canoni di locazione</w:t>
            </w:r>
          </w:p>
        </w:tc>
        <w:tc>
          <w:tcPr>
            <w:tcW w:w="2020" w:type="dxa"/>
            <w:tcBorders>
              <w:top w:val="nil"/>
              <w:left w:val="nil"/>
              <w:bottom w:val="single" w:sz="4" w:space="0" w:color="auto"/>
              <w:right w:val="single" w:sz="4" w:space="0" w:color="auto"/>
            </w:tcBorders>
            <w:noWrap/>
            <w:vAlign w:val="center"/>
          </w:tcPr>
          <w:p w14:paraId="0CD8736F" w14:textId="77777777" w:rsidR="008A7756" w:rsidRDefault="008A7756" w:rsidP="00B6592C">
            <w:pPr>
              <w:jc w:val="both"/>
              <w:rPr>
                <w:rFonts w:eastAsia="Times New Roman" w:cs="Times New Roman"/>
              </w:rPr>
            </w:pPr>
            <w:r>
              <w:rPr>
                <w:rFonts w:eastAsia="Times New Roman" w:cs="Times New Roman"/>
              </w:rPr>
              <w:t>+1,1%</w:t>
            </w:r>
          </w:p>
        </w:tc>
        <w:tc>
          <w:tcPr>
            <w:tcW w:w="2200" w:type="dxa"/>
            <w:tcBorders>
              <w:top w:val="nil"/>
              <w:left w:val="nil"/>
              <w:bottom w:val="single" w:sz="4" w:space="0" w:color="auto"/>
              <w:right w:val="single" w:sz="4" w:space="0" w:color="auto"/>
            </w:tcBorders>
            <w:noWrap/>
            <w:vAlign w:val="center"/>
          </w:tcPr>
          <w:p w14:paraId="66D116CE" w14:textId="77777777" w:rsidR="008A7756" w:rsidRDefault="008A7756" w:rsidP="00B6592C">
            <w:pPr>
              <w:jc w:val="both"/>
              <w:rPr>
                <w:rFonts w:eastAsia="Times New Roman" w:cs="Times New Roman"/>
              </w:rPr>
            </w:pPr>
            <w:r>
              <w:rPr>
                <w:rFonts w:eastAsia="Times New Roman" w:cs="Times New Roman"/>
              </w:rPr>
              <w:t>+1,9%</w:t>
            </w:r>
          </w:p>
        </w:tc>
      </w:tr>
    </w:tbl>
    <w:p w14:paraId="2229A03A" w14:textId="77777777" w:rsidR="00E653B7" w:rsidRDefault="00E653B7" w:rsidP="008A7756">
      <w:pPr>
        <w:jc w:val="both"/>
        <w:rPr>
          <w:b/>
          <w:bCs/>
          <w:color w:val="C00000"/>
        </w:rPr>
      </w:pPr>
    </w:p>
    <w:p w14:paraId="07E0E376" w14:textId="09F86C6B" w:rsidR="008A7756" w:rsidRPr="008A7756" w:rsidRDefault="008A7756" w:rsidP="00884AEC">
      <w:pPr>
        <w:spacing w:after="0"/>
        <w:jc w:val="both"/>
        <w:rPr>
          <w:b/>
          <w:bCs/>
          <w:color w:val="C00000"/>
        </w:rPr>
      </w:pPr>
      <w:r w:rsidRPr="008A7756">
        <w:rPr>
          <w:b/>
          <w:bCs/>
          <w:color w:val="C00000"/>
        </w:rPr>
        <w:t xml:space="preserve">UFFICI </w:t>
      </w:r>
    </w:p>
    <w:tbl>
      <w:tblPr>
        <w:tblW w:w="9654" w:type="dxa"/>
        <w:tblInd w:w="55" w:type="dxa"/>
        <w:tblCellMar>
          <w:left w:w="70" w:type="dxa"/>
          <w:right w:w="70" w:type="dxa"/>
        </w:tblCellMar>
        <w:tblLook w:val="04A0" w:firstRow="1" w:lastRow="0" w:firstColumn="1" w:lastColumn="0" w:noHBand="0" w:noVBand="1"/>
      </w:tblPr>
      <w:tblGrid>
        <w:gridCol w:w="1940"/>
        <w:gridCol w:w="1903"/>
        <w:gridCol w:w="2126"/>
        <w:gridCol w:w="1843"/>
        <w:gridCol w:w="1842"/>
      </w:tblGrid>
      <w:tr w:rsidR="008A7756" w14:paraId="15B2F98C" w14:textId="77777777" w:rsidTr="00B6592C">
        <w:trPr>
          <w:trHeight w:val="315"/>
        </w:trPr>
        <w:tc>
          <w:tcPr>
            <w:tcW w:w="1940" w:type="dxa"/>
            <w:tcBorders>
              <w:top w:val="single" w:sz="4" w:space="0" w:color="auto"/>
              <w:left w:val="single" w:sz="4" w:space="0" w:color="auto"/>
              <w:bottom w:val="single" w:sz="4" w:space="0" w:color="auto"/>
              <w:right w:val="single" w:sz="4" w:space="0" w:color="auto"/>
            </w:tcBorders>
            <w:noWrap/>
            <w:vAlign w:val="bottom"/>
            <w:hideMark/>
          </w:tcPr>
          <w:p w14:paraId="5982DF7C" w14:textId="77777777" w:rsidR="008A7756" w:rsidRDefault="008A7756" w:rsidP="00884AEC">
            <w:pPr>
              <w:rPr>
                <w:rFonts w:eastAsia="Times New Roman" w:cs="Times New Roman"/>
                <w:b/>
              </w:rPr>
            </w:pPr>
          </w:p>
        </w:tc>
        <w:tc>
          <w:tcPr>
            <w:tcW w:w="1903" w:type="dxa"/>
            <w:tcBorders>
              <w:top w:val="single" w:sz="4" w:space="0" w:color="auto"/>
              <w:left w:val="nil"/>
              <w:bottom w:val="single" w:sz="4" w:space="0" w:color="auto"/>
              <w:right w:val="single" w:sz="4" w:space="0" w:color="auto"/>
            </w:tcBorders>
            <w:noWrap/>
            <w:vAlign w:val="bottom"/>
            <w:hideMark/>
          </w:tcPr>
          <w:p w14:paraId="0CC48C0A" w14:textId="77777777" w:rsidR="008A7756" w:rsidRDefault="008A7756" w:rsidP="00884AEC">
            <w:pPr>
              <w:rPr>
                <w:rFonts w:eastAsia="Times New Roman" w:cs="Times New Roman"/>
                <w:b/>
              </w:rPr>
            </w:pPr>
            <w:r>
              <w:rPr>
                <w:rFonts w:eastAsia="Times New Roman" w:cs="Times New Roman"/>
                <w:b/>
              </w:rPr>
              <w:t>Nuovo in centri direzionali</w:t>
            </w:r>
          </w:p>
        </w:tc>
        <w:tc>
          <w:tcPr>
            <w:tcW w:w="2126" w:type="dxa"/>
            <w:tcBorders>
              <w:top w:val="single" w:sz="4" w:space="0" w:color="auto"/>
              <w:left w:val="nil"/>
              <w:bottom w:val="single" w:sz="4" w:space="0" w:color="auto"/>
              <w:right w:val="single" w:sz="4" w:space="0" w:color="auto"/>
            </w:tcBorders>
            <w:noWrap/>
            <w:vAlign w:val="bottom"/>
            <w:hideMark/>
          </w:tcPr>
          <w:p w14:paraId="6B3D1600" w14:textId="77777777" w:rsidR="008A7756" w:rsidRDefault="008A7756" w:rsidP="00884AEC">
            <w:pPr>
              <w:rPr>
                <w:rFonts w:eastAsia="Times New Roman" w:cs="Times New Roman"/>
                <w:b/>
              </w:rPr>
            </w:pPr>
            <w:r>
              <w:rPr>
                <w:rFonts w:eastAsia="Times New Roman" w:cs="Times New Roman"/>
                <w:b/>
              </w:rPr>
              <w:t>Nuovo in palazzine residenziali</w:t>
            </w:r>
          </w:p>
        </w:tc>
        <w:tc>
          <w:tcPr>
            <w:tcW w:w="1843" w:type="dxa"/>
            <w:tcBorders>
              <w:top w:val="single" w:sz="4" w:space="0" w:color="auto"/>
              <w:left w:val="nil"/>
              <w:bottom w:val="single" w:sz="4" w:space="0" w:color="auto"/>
              <w:right w:val="single" w:sz="4" w:space="0" w:color="auto"/>
            </w:tcBorders>
            <w:noWrap/>
            <w:vAlign w:val="bottom"/>
            <w:hideMark/>
          </w:tcPr>
          <w:p w14:paraId="2181EAF3" w14:textId="77777777" w:rsidR="008A7756" w:rsidRDefault="008A7756" w:rsidP="00884AEC">
            <w:pPr>
              <w:rPr>
                <w:rFonts w:eastAsia="Times New Roman" w:cs="Times New Roman"/>
                <w:b/>
              </w:rPr>
            </w:pPr>
            <w:r>
              <w:rPr>
                <w:rFonts w:eastAsia="Times New Roman" w:cs="Times New Roman"/>
                <w:b/>
              </w:rPr>
              <w:t>Usato in centri direzionali</w:t>
            </w:r>
          </w:p>
        </w:tc>
        <w:tc>
          <w:tcPr>
            <w:tcW w:w="1842" w:type="dxa"/>
            <w:tcBorders>
              <w:top w:val="single" w:sz="4" w:space="0" w:color="auto"/>
              <w:left w:val="nil"/>
              <w:bottom w:val="single" w:sz="4" w:space="0" w:color="auto"/>
              <w:right w:val="single" w:sz="4" w:space="0" w:color="auto"/>
            </w:tcBorders>
            <w:noWrap/>
            <w:vAlign w:val="bottom"/>
            <w:hideMark/>
          </w:tcPr>
          <w:p w14:paraId="101F23F4" w14:textId="77777777" w:rsidR="008A7756" w:rsidRDefault="008A7756" w:rsidP="00884AEC">
            <w:pPr>
              <w:rPr>
                <w:rFonts w:eastAsia="Times New Roman" w:cs="Times New Roman"/>
                <w:b/>
              </w:rPr>
            </w:pPr>
            <w:r>
              <w:rPr>
                <w:rFonts w:eastAsia="Times New Roman" w:cs="Times New Roman"/>
                <w:b/>
              </w:rPr>
              <w:t>Usato in palazzine residenziali</w:t>
            </w:r>
          </w:p>
        </w:tc>
      </w:tr>
      <w:tr w:rsidR="008A7756" w14:paraId="7C382AEE" w14:textId="77777777" w:rsidTr="00B6592C">
        <w:trPr>
          <w:trHeight w:val="315"/>
        </w:trPr>
        <w:tc>
          <w:tcPr>
            <w:tcW w:w="1940" w:type="dxa"/>
            <w:tcBorders>
              <w:top w:val="nil"/>
              <w:left w:val="single" w:sz="4" w:space="0" w:color="auto"/>
              <w:bottom w:val="single" w:sz="4" w:space="0" w:color="auto"/>
              <w:right w:val="single" w:sz="4" w:space="0" w:color="auto"/>
            </w:tcBorders>
            <w:noWrap/>
            <w:vAlign w:val="bottom"/>
            <w:hideMark/>
          </w:tcPr>
          <w:p w14:paraId="0E1C224A" w14:textId="77777777" w:rsidR="008A7756" w:rsidRDefault="008A7756" w:rsidP="008A7756">
            <w:pPr>
              <w:rPr>
                <w:rFonts w:eastAsia="Times New Roman" w:cs="Times New Roman"/>
                <w:b/>
              </w:rPr>
            </w:pPr>
            <w:r>
              <w:rPr>
                <w:rFonts w:eastAsia="Times New Roman" w:cs="Times New Roman"/>
                <w:b/>
              </w:rPr>
              <w:t xml:space="preserve">Prezzi </w:t>
            </w:r>
          </w:p>
        </w:tc>
        <w:tc>
          <w:tcPr>
            <w:tcW w:w="1903" w:type="dxa"/>
            <w:tcBorders>
              <w:top w:val="nil"/>
              <w:left w:val="nil"/>
              <w:bottom w:val="single" w:sz="4" w:space="0" w:color="auto"/>
              <w:right w:val="single" w:sz="4" w:space="0" w:color="auto"/>
            </w:tcBorders>
            <w:noWrap/>
          </w:tcPr>
          <w:p w14:paraId="685C2DB9" w14:textId="77777777" w:rsidR="008A7756" w:rsidRDefault="008A7756" w:rsidP="00B6592C">
            <w:pPr>
              <w:jc w:val="both"/>
              <w:rPr>
                <w:rFonts w:eastAsia="Times New Roman" w:cs="Times New Roman"/>
              </w:rPr>
            </w:pPr>
            <w:r>
              <w:rPr>
                <w:rFonts w:eastAsia="Times New Roman" w:cs="Times New Roman"/>
              </w:rPr>
              <w:t>0%</w:t>
            </w:r>
          </w:p>
        </w:tc>
        <w:tc>
          <w:tcPr>
            <w:tcW w:w="2126" w:type="dxa"/>
            <w:tcBorders>
              <w:top w:val="nil"/>
              <w:left w:val="nil"/>
              <w:bottom w:val="single" w:sz="4" w:space="0" w:color="auto"/>
              <w:right w:val="single" w:sz="4" w:space="0" w:color="auto"/>
            </w:tcBorders>
            <w:noWrap/>
          </w:tcPr>
          <w:p w14:paraId="3352FEEE" w14:textId="77777777" w:rsidR="008A7756" w:rsidRDefault="008A7756" w:rsidP="00B6592C">
            <w:pPr>
              <w:jc w:val="both"/>
              <w:rPr>
                <w:rFonts w:eastAsia="Times New Roman" w:cs="Times New Roman"/>
              </w:rPr>
            </w:pPr>
            <w:r>
              <w:rPr>
                <w:rFonts w:eastAsia="Times New Roman" w:cs="Times New Roman"/>
              </w:rPr>
              <w:t>+0,6%</w:t>
            </w:r>
          </w:p>
        </w:tc>
        <w:tc>
          <w:tcPr>
            <w:tcW w:w="1843" w:type="dxa"/>
            <w:tcBorders>
              <w:top w:val="nil"/>
              <w:left w:val="nil"/>
              <w:bottom w:val="single" w:sz="4" w:space="0" w:color="auto"/>
              <w:right w:val="single" w:sz="4" w:space="0" w:color="auto"/>
            </w:tcBorders>
            <w:noWrap/>
          </w:tcPr>
          <w:p w14:paraId="120AB972" w14:textId="77777777" w:rsidR="008A7756" w:rsidRDefault="008A7756" w:rsidP="00B6592C">
            <w:pPr>
              <w:jc w:val="both"/>
              <w:rPr>
                <w:rFonts w:eastAsia="Times New Roman" w:cs="Times New Roman"/>
              </w:rPr>
            </w:pPr>
            <w:r>
              <w:rPr>
                <w:rFonts w:eastAsia="Times New Roman" w:cs="Times New Roman"/>
              </w:rPr>
              <w:t>+0,3%</w:t>
            </w:r>
          </w:p>
        </w:tc>
        <w:tc>
          <w:tcPr>
            <w:tcW w:w="1842" w:type="dxa"/>
            <w:tcBorders>
              <w:top w:val="nil"/>
              <w:left w:val="nil"/>
              <w:bottom w:val="single" w:sz="4" w:space="0" w:color="auto"/>
              <w:right w:val="single" w:sz="4" w:space="0" w:color="auto"/>
            </w:tcBorders>
            <w:noWrap/>
          </w:tcPr>
          <w:p w14:paraId="4078FABE" w14:textId="77777777" w:rsidR="008A7756" w:rsidRDefault="008A7756" w:rsidP="00B6592C">
            <w:pPr>
              <w:jc w:val="both"/>
              <w:rPr>
                <w:rFonts w:eastAsia="Times New Roman" w:cs="Times New Roman"/>
              </w:rPr>
            </w:pPr>
            <w:r>
              <w:rPr>
                <w:rFonts w:eastAsia="Times New Roman" w:cs="Times New Roman"/>
              </w:rPr>
              <w:t>0%</w:t>
            </w:r>
          </w:p>
        </w:tc>
      </w:tr>
      <w:tr w:rsidR="008A7756" w14:paraId="2644D5B6" w14:textId="77777777" w:rsidTr="00B6592C">
        <w:trPr>
          <w:trHeight w:val="315"/>
        </w:trPr>
        <w:tc>
          <w:tcPr>
            <w:tcW w:w="1940" w:type="dxa"/>
            <w:tcBorders>
              <w:top w:val="nil"/>
              <w:left w:val="single" w:sz="4" w:space="0" w:color="auto"/>
              <w:bottom w:val="single" w:sz="4" w:space="0" w:color="auto"/>
              <w:right w:val="single" w:sz="4" w:space="0" w:color="auto"/>
            </w:tcBorders>
            <w:noWrap/>
            <w:vAlign w:val="bottom"/>
            <w:hideMark/>
          </w:tcPr>
          <w:p w14:paraId="11D3D97C" w14:textId="77777777" w:rsidR="008A7756" w:rsidRDefault="008A7756" w:rsidP="008A7756">
            <w:pPr>
              <w:rPr>
                <w:rFonts w:eastAsia="Times New Roman" w:cs="Times New Roman"/>
                <w:b/>
              </w:rPr>
            </w:pPr>
            <w:r>
              <w:rPr>
                <w:rFonts w:eastAsia="Times New Roman" w:cs="Times New Roman"/>
                <w:b/>
              </w:rPr>
              <w:t>Canoni di locazione</w:t>
            </w:r>
          </w:p>
        </w:tc>
        <w:tc>
          <w:tcPr>
            <w:tcW w:w="1903" w:type="dxa"/>
            <w:tcBorders>
              <w:top w:val="nil"/>
              <w:left w:val="nil"/>
              <w:bottom w:val="single" w:sz="4" w:space="0" w:color="auto"/>
              <w:right w:val="single" w:sz="4" w:space="0" w:color="auto"/>
            </w:tcBorders>
            <w:noWrap/>
          </w:tcPr>
          <w:p w14:paraId="074B289E" w14:textId="77777777" w:rsidR="008A7756" w:rsidRDefault="008A7756" w:rsidP="00B6592C">
            <w:pPr>
              <w:jc w:val="both"/>
              <w:rPr>
                <w:rFonts w:eastAsia="Times New Roman" w:cs="Times New Roman"/>
              </w:rPr>
            </w:pPr>
            <w:r>
              <w:rPr>
                <w:rFonts w:eastAsia="Times New Roman" w:cs="Times New Roman"/>
              </w:rPr>
              <w:t>+1,4%</w:t>
            </w:r>
          </w:p>
        </w:tc>
        <w:tc>
          <w:tcPr>
            <w:tcW w:w="2126" w:type="dxa"/>
            <w:tcBorders>
              <w:top w:val="nil"/>
              <w:left w:val="nil"/>
              <w:bottom w:val="single" w:sz="4" w:space="0" w:color="auto"/>
              <w:right w:val="single" w:sz="4" w:space="0" w:color="auto"/>
            </w:tcBorders>
            <w:noWrap/>
          </w:tcPr>
          <w:p w14:paraId="6961DC36" w14:textId="77777777" w:rsidR="008A7756" w:rsidRDefault="008A7756" w:rsidP="00B6592C">
            <w:pPr>
              <w:jc w:val="both"/>
              <w:rPr>
                <w:rFonts w:eastAsia="Times New Roman" w:cs="Times New Roman"/>
              </w:rPr>
            </w:pPr>
            <w:r>
              <w:rPr>
                <w:rFonts w:eastAsia="Times New Roman" w:cs="Times New Roman"/>
              </w:rPr>
              <w:t>+2,5%</w:t>
            </w:r>
          </w:p>
        </w:tc>
        <w:tc>
          <w:tcPr>
            <w:tcW w:w="1843" w:type="dxa"/>
            <w:tcBorders>
              <w:top w:val="nil"/>
              <w:left w:val="nil"/>
              <w:bottom w:val="single" w:sz="4" w:space="0" w:color="auto"/>
              <w:right w:val="single" w:sz="4" w:space="0" w:color="auto"/>
            </w:tcBorders>
            <w:noWrap/>
          </w:tcPr>
          <w:p w14:paraId="6A49E0E7" w14:textId="77777777" w:rsidR="008A7756" w:rsidRDefault="008A7756" w:rsidP="00B6592C">
            <w:pPr>
              <w:jc w:val="both"/>
              <w:rPr>
                <w:rFonts w:eastAsia="Times New Roman" w:cs="Times New Roman"/>
              </w:rPr>
            </w:pPr>
            <w:r>
              <w:rPr>
                <w:rFonts w:eastAsia="Times New Roman" w:cs="Times New Roman"/>
              </w:rPr>
              <w:t>+1,8%</w:t>
            </w:r>
          </w:p>
        </w:tc>
        <w:tc>
          <w:tcPr>
            <w:tcW w:w="1842" w:type="dxa"/>
            <w:tcBorders>
              <w:top w:val="nil"/>
              <w:left w:val="nil"/>
              <w:bottom w:val="single" w:sz="4" w:space="0" w:color="auto"/>
              <w:right w:val="single" w:sz="4" w:space="0" w:color="auto"/>
            </w:tcBorders>
            <w:noWrap/>
          </w:tcPr>
          <w:p w14:paraId="2F45DD3A" w14:textId="77777777" w:rsidR="008A7756" w:rsidRDefault="008A7756" w:rsidP="00B6592C">
            <w:pPr>
              <w:jc w:val="both"/>
              <w:rPr>
                <w:rFonts w:eastAsia="Times New Roman" w:cs="Times New Roman"/>
              </w:rPr>
            </w:pPr>
            <w:r>
              <w:rPr>
                <w:rFonts w:eastAsia="Times New Roman" w:cs="Times New Roman"/>
              </w:rPr>
              <w:t>+1,5%</w:t>
            </w:r>
          </w:p>
        </w:tc>
      </w:tr>
    </w:tbl>
    <w:p w14:paraId="099E42C5" w14:textId="77777777" w:rsidR="008A7756" w:rsidRDefault="008A7756" w:rsidP="00884AEC">
      <w:pPr>
        <w:jc w:val="both"/>
      </w:pPr>
    </w:p>
    <w:sectPr w:rsidR="008A7756">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D9F3C" w14:textId="77777777" w:rsidR="008A7756" w:rsidRDefault="008A7756" w:rsidP="008A7756">
      <w:pPr>
        <w:spacing w:after="0" w:line="240" w:lineRule="auto"/>
      </w:pPr>
      <w:r>
        <w:separator/>
      </w:r>
    </w:p>
  </w:endnote>
  <w:endnote w:type="continuationSeparator" w:id="0">
    <w:p w14:paraId="74EE53E5" w14:textId="77777777" w:rsidR="008A7756" w:rsidRDefault="008A7756" w:rsidP="008A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64E4A" w14:textId="110B9E0B" w:rsidR="008A7756" w:rsidRPr="008A7756" w:rsidRDefault="008A7756" w:rsidP="008A7756">
    <w:pPr>
      <w:pStyle w:val="Pidipagina"/>
      <w:jc w:val="right"/>
      <w:rPr>
        <w:b/>
        <w:bCs/>
        <w:i/>
        <w:iCs/>
      </w:rPr>
    </w:pPr>
    <w:r w:rsidRPr="00373003">
      <w:rPr>
        <w:b/>
        <w:bCs/>
        <w:i/>
        <w:iCs/>
      </w:rPr>
      <w:t>Fonte: Ufficio Studi Gruppo Tecnocasa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FE8A4" w14:textId="77777777" w:rsidR="008A7756" w:rsidRDefault="008A7756" w:rsidP="008A7756">
      <w:pPr>
        <w:spacing w:after="0" w:line="240" w:lineRule="auto"/>
      </w:pPr>
      <w:r>
        <w:separator/>
      </w:r>
    </w:p>
  </w:footnote>
  <w:footnote w:type="continuationSeparator" w:id="0">
    <w:p w14:paraId="11D84B3A" w14:textId="77777777" w:rsidR="008A7756" w:rsidRDefault="008A7756" w:rsidP="008A7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F29B8" w14:textId="1F964C32" w:rsidR="008A7756" w:rsidRPr="00165586" w:rsidRDefault="008A7756" w:rsidP="008A7756">
    <w:pPr>
      <w:pStyle w:val="Intestazione"/>
      <w:rPr>
        <w:b/>
        <w:bCs/>
        <w:color w:val="C00000"/>
        <w:sz w:val="24"/>
        <w:szCs w:val="24"/>
      </w:rPr>
    </w:pPr>
    <w:r>
      <w:rPr>
        <w:noProof/>
      </w:rPr>
      <w:drawing>
        <wp:inline distT="0" distB="0" distL="0" distR="0" wp14:anchorId="56A04731" wp14:editId="5DD80A5A">
          <wp:extent cx="1431290" cy="437515"/>
          <wp:effectExtent l="0" t="0" r="0" b="635"/>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437515"/>
                  </a:xfrm>
                  <a:prstGeom prst="rect">
                    <a:avLst/>
                  </a:prstGeom>
                  <a:noFill/>
                  <a:ln>
                    <a:noFill/>
                  </a:ln>
                </pic:spPr>
              </pic:pic>
            </a:graphicData>
          </a:graphic>
        </wp:inline>
      </w:drawing>
    </w:r>
    <w:r>
      <w:t xml:space="preserve">             </w:t>
    </w:r>
    <w:r w:rsidR="00884AEC">
      <w:t xml:space="preserve">     </w:t>
    </w:r>
    <w:r>
      <w:t xml:space="preserve">      </w:t>
    </w:r>
    <w:r w:rsidRPr="00165586">
      <w:rPr>
        <w:b/>
        <w:bCs/>
        <w:color w:val="C00000"/>
        <w:sz w:val="24"/>
        <w:szCs w:val="24"/>
      </w:rPr>
      <w:t>CONFERENZA STAMPA IMMOBILI PER L’IMPRESA 04.12.24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AB"/>
    <w:rsid w:val="001810BC"/>
    <w:rsid w:val="001C2181"/>
    <w:rsid w:val="002A0854"/>
    <w:rsid w:val="004B634B"/>
    <w:rsid w:val="005829B4"/>
    <w:rsid w:val="005D7149"/>
    <w:rsid w:val="00660D3E"/>
    <w:rsid w:val="00884AEC"/>
    <w:rsid w:val="00897BAB"/>
    <w:rsid w:val="008A09AC"/>
    <w:rsid w:val="008A7756"/>
    <w:rsid w:val="00C93B78"/>
    <w:rsid w:val="00CC136A"/>
    <w:rsid w:val="00D9306C"/>
    <w:rsid w:val="00DA590E"/>
    <w:rsid w:val="00E653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7778"/>
  <w15:chartTrackingRefBased/>
  <w15:docId w15:val="{C1049501-6C47-4F1E-BC0E-0BFA9B6F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7756"/>
    <w:pPr>
      <w:spacing w:line="259" w:lineRule="auto"/>
    </w:pPr>
    <w:rPr>
      <w:kern w:val="0"/>
      <w:sz w:val="22"/>
      <w:szCs w:val="22"/>
      <w14:ligatures w14:val="none"/>
    </w:rPr>
  </w:style>
  <w:style w:type="paragraph" w:styleId="Titolo1">
    <w:name w:val="heading 1"/>
    <w:basedOn w:val="Normale"/>
    <w:next w:val="Normale"/>
    <w:link w:val="Titolo1Carattere"/>
    <w:uiPriority w:val="9"/>
    <w:qFormat/>
    <w:rsid w:val="00897BA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897BA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897BA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897BA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897BA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897BA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897BA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897BA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897BA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7B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97B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97B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97B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97B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97B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97B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97B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97B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897BA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897B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97BA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897B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97BAB"/>
    <w:pPr>
      <w:spacing w:before="160" w:line="278" w:lineRule="auto"/>
      <w:jc w:val="center"/>
    </w:pPr>
    <w:rPr>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897BAB"/>
    <w:rPr>
      <w:i/>
      <w:iCs/>
      <w:color w:val="404040" w:themeColor="text1" w:themeTint="BF"/>
    </w:rPr>
  </w:style>
  <w:style w:type="paragraph" w:styleId="Paragrafoelenco">
    <w:name w:val="List Paragraph"/>
    <w:basedOn w:val="Normale"/>
    <w:uiPriority w:val="34"/>
    <w:qFormat/>
    <w:rsid w:val="00897BAB"/>
    <w:pPr>
      <w:spacing w:line="278" w:lineRule="auto"/>
      <w:ind w:left="720"/>
      <w:contextualSpacing/>
    </w:pPr>
    <w:rPr>
      <w:kern w:val="2"/>
      <w:sz w:val="24"/>
      <w:szCs w:val="24"/>
      <w14:ligatures w14:val="standardContextual"/>
    </w:rPr>
  </w:style>
  <w:style w:type="character" w:styleId="Enfasiintensa">
    <w:name w:val="Intense Emphasis"/>
    <w:basedOn w:val="Carpredefinitoparagrafo"/>
    <w:uiPriority w:val="21"/>
    <w:qFormat/>
    <w:rsid w:val="00897BAB"/>
    <w:rPr>
      <w:i/>
      <w:iCs/>
      <w:color w:val="0F4761" w:themeColor="accent1" w:themeShade="BF"/>
    </w:rPr>
  </w:style>
  <w:style w:type="paragraph" w:styleId="Citazioneintensa">
    <w:name w:val="Intense Quote"/>
    <w:basedOn w:val="Normale"/>
    <w:next w:val="Normale"/>
    <w:link w:val="CitazioneintensaCarattere"/>
    <w:uiPriority w:val="30"/>
    <w:qFormat/>
    <w:rsid w:val="00897BA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897BAB"/>
    <w:rPr>
      <w:i/>
      <w:iCs/>
      <w:color w:val="0F4761" w:themeColor="accent1" w:themeShade="BF"/>
    </w:rPr>
  </w:style>
  <w:style w:type="character" w:styleId="Riferimentointenso">
    <w:name w:val="Intense Reference"/>
    <w:basedOn w:val="Carpredefinitoparagrafo"/>
    <w:uiPriority w:val="32"/>
    <w:qFormat/>
    <w:rsid w:val="00897BAB"/>
    <w:rPr>
      <w:b/>
      <w:bCs/>
      <w:smallCaps/>
      <w:color w:val="0F4761" w:themeColor="accent1" w:themeShade="BF"/>
      <w:spacing w:val="5"/>
    </w:rPr>
  </w:style>
  <w:style w:type="paragraph" w:styleId="Intestazione">
    <w:name w:val="header"/>
    <w:basedOn w:val="Normale"/>
    <w:link w:val="IntestazioneCarattere"/>
    <w:uiPriority w:val="99"/>
    <w:unhideWhenUsed/>
    <w:rsid w:val="008A77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7756"/>
    <w:rPr>
      <w:kern w:val="0"/>
      <w:sz w:val="22"/>
      <w:szCs w:val="22"/>
      <w14:ligatures w14:val="none"/>
    </w:rPr>
  </w:style>
  <w:style w:type="paragraph" w:styleId="Pidipagina">
    <w:name w:val="footer"/>
    <w:basedOn w:val="Normale"/>
    <w:link w:val="PidipaginaCarattere"/>
    <w:uiPriority w:val="99"/>
    <w:unhideWhenUsed/>
    <w:rsid w:val="008A77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775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901</Words>
  <Characters>5138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Vittoriana Signorini</dc:creator>
  <cp:keywords/>
  <dc:description/>
  <cp:lastModifiedBy>Silvia Spadini</cp:lastModifiedBy>
  <cp:revision>6</cp:revision>
  <cp:lastPrinted>2024-12-03T15:47:00Z</cp:lastPrinted>
  <dcterms:created xsi:type="dcterms:W3CDTF">2024-11-19T14:17:00Z</dcterms:created>
  <dcterms:modified xsi:type="dcterms:W3CDTF">2024-12-03T15:47:00Z</dcterms:modified>
</cp:coreProperties>
</file>