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C78C2" w14:textId="5A24E946" w:rsidR="008A050C" w:rsidRPr="00165586" w:rsidRDefault="008A050C" w:rsidP="008A050C">
      <w:pPr>
        <w:spacing w:after="0" w:line="240" w:lineRule="auto"/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FIRENZE</w:t>
      </w:r>
    </w:p>
    <w:p w14:paraId="2F0179D4" w14:textId="77777777" w:rsidR="008A050C" w:rsidRPr="00796130" w:rsidRDefault="008A050C" w:rsidP="008A050C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00796130">
        <w:rPr>
          <w:b/>
          <w:bCs/>
          <w:color w:val="C00000"/>
          <w:sz w:val="28"/>
          <w:szCs w:val="28"/>
        </w:rPr>
        <w:t>IL MERCATO DEGLI IMMOBILI AD USO COMMERCIALE E INDUSTRIALE</w:t>
      </w:r>
    </w:p>
    <w:p w14:paraId="19AC388E" w14:textId="77777777" w:rsidR="008A050C" w:rsidRDefault="008A050C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</w:p>
    <w:p w14:paraId="7492B7F9" w14:textId="39D616C6" w:rsidR="00233E7A" w:rsidRPr="00740261" w:rsidRDefault="008A050C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  <w:r>
        <w:rPr>
          <w:rFonts w:eastAsiaTheme="minorEastAsia" w:cstheme="minorHAnsi"/>
          <w:sz w:val="24"/>
          <w:szCs w:val="24"/>
          <w:lang w:val="it-IT" w:eastAsia="it-IT"/>
        </w:rPr>
        <w:t>“</w:t>
      </w:r>
      <w:r w:rsidR="00233E7A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In </w:t>
      </w:r>
      <w:r>
        <w:rPr>
          <w:rFonts w:eastAsiaTheme="minorEastAsia" w:cstheme="minorHAnsi"/>
          <w:sz w:val="24"/>
          <w:szCs w:val="24"/>
          <w:lang w:val="it-IT" w:eastAsia="it-IT"/>
        </w:rPr>
        <w:t xml:space="preserve">leggera </w:t>
      </w:r>
      <w:r w:rsidR="00233E7A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ripresa i prezzi e i canoni dei </w:t>
      </w:r>
      <w:r w:rsidR="00233E7A" w:rsidRPr="008A050C">
        <w:rPr>
          <w:rFonts w:eastAsiaTheme="minorEastAsia" w:cstheme="minorHAnsi"/>
          <w:b/>
          <w:bCs/>
          <w:i/>
          <w:iCs/>
          <w:sz w:val="24"/>
          <w:szCs w:val="24"/>
          <w:lang w:val="it-IT" w:eastAsia="it-IT"/>
        </w:rPr>
        <w:t>negozi</w:t>
      </w:r>
      <w:r w:rsidR="00233E7A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a Firenze</w:t>
      </w:r>
      <w:r>
        <w:rPr>
          <w:rFonts w:eastAsiaTheme="minorEastAsia" w:cstheme="minorHAnsi"/>
          <w:sz w:val="24"/>
          <w:szCs w:val="24"/>
          <w:lang w:val="it-IT" w:eastAsia="it-IT"/>
        </w:rPr>
        <w:t xml:space="preserve"> - afferma </w:t>
      </w:r>
      <w:r w:rsidRPr="008A050C">
        <w:rPr>
          <w:rFonts w:eastAsiaTheme="minorEastAsia" w:cstheme="minorHAnsi"/>
          <w:b/>
          <w:bCs/>
          <w:sz w:val="24"/>
          <w:szCs w:val="24"/>
          <w:lang w:val="it-IT" w:eastAsia="it-IT"/>
        </w:rPr>
        <w:t>Tommaso Birignani, Consulente Gruppo Tecnocasa</w:t>
      </w:r>
      <w:r w:rsidRPr="008A050C">
        <w:rPr>
          <w:rFonts w:eastAsiaTheme="minorEastAsia" w:cstheme="minorHAnsi"/>
          <w:sz w:val="24"/>
          <w:szCs w:val="24"/>
          <w:lang w:val="it-IT" w:eastAsia="it-IT"/>
        </w:rPr>
        <w:t>.</w:t>
      </w:r>
      <w:r>
        <w:rPr>
          <w:rFonts w:eastAsiaTheme="minorEastAsia" w:cstheme="minorHAnsi"/>
          <w:sz w:val="24"/>
          <w:szCs w:val="24"/>
          <w:lang w:val="it-IT" w:eastAsia="it-IT"/>
        </w:rPr>
        <w:t xml:space="preserve"> Per quanto riguarda il</w:t>
      </w:r>
      <w:r w:rsidR="00233E7A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233E7A" w:rsidRPr="008A050C">
        <w:rPr>
          <w:rFonts w:eastAsiaTheme="minorEastAsia" w:cstheme="minorHAnsi"/>
          <w:b/>
          <w:bCs/>
          <w:i/>
          <w:iCs/>
          <w:sz w:val="24"/>
          <w:szCs w:val="24"/>
          <w:lang w:val="it-IT" w:eastAsia="it-IT"/>
        </w:rPr>
        <w:t>Centro storico</w:t>
      </w:r>
      <w:r>
        <w:rPr>
          <w:rFonts w:eastAsiaTheme="minorEastAsia" w:cstheme="minorHAnsi"/>
          <w:sz w:val="24"/>
          <w:szCs w:val="24"/>
          <w:lang w:val="it-IT" w:eastAsia="it-IT"/>
        </w:rPr>
        <w:t>, d</w:t>
      </w:r>
      <w:r w:rsidR="00233E7A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al post covid i flussi turistici sono in continuo aumento </w:t>
      </w:r>
      <w:r w:rsidR="00107BB0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e nel </w:t>
      </w:r>
      <w:r w:rsidR="00076669" w:rsidRPr="00740261">
        <w:rPr>
          <w:rFonts w:eastAsiaTheme="minorEastAsia" w:cstheme="minorHAnsi"/>
          <w:sz w:val="24"/>
          <w:szCs w:val="24"/>
          <w:lang w:val="it-IT" w:eastAsia="it-IT"/>
        </w:rPr>
        <w:t>2023</w:t>
      </w:r>
      <w:r w:rsidR="00107BB0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ci sono state </w:t>
      </w:r>
      <w:r w:rsidR="00076669" w:rsidRPr="00740261">
        <w:rPr>
          <w:rFonts w:eastAsiaTheme="minorEastAsia" w:cstheme="minorHAnsi"/>
          <w:sz w:val="24"/>
          <w:szCs w:val="24"/>
          <w:lang w:val="it-IT" w:eastAsia="it-IT"/>
        </w:rPr>
        <w:t>10,5 milioni di presenze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; </w:t>
      </w:r>
      <w:r w:rsidR="00107BB0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per il </w:t>
      </w:r>
      <w:r w:rsidR="00076669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2024 in città </w:t>
      </w:r>
      <w:r w:rsidR="00107BB0" w:rsidRPr="00740261">
        <w:rPr>
          <w:rFonts w:eastAsiaTheme="minorEastAsia" w:cstheme="minorHAnsi"/>
          <w:sz w:val="24"/>
          <w:szCs w:val="24"/>
          <w:lang w:val="it-IT" w:eastAsia="it-IT"/>
        </w:rPr>
        <w:t>si stima di arrivare a</w:t>
      </w:r>
      <w:r w:rsidR="00076669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15 milioni, un dato estremamente significativo</w:t>
      </w:r>
      <w:r>
        <w:rPr>
          <w:rFonts w:eastAsiaTheme="minorEastAsia" w:cstheme="minorHAnsi"/>
          <w:sz w:val="24"/>
          <w:szCs w:val="24"/>
          <w:lang w:val="it-IT" w:eastAsia="it-IT"/>
        </w:rPr>
        <w:t>.</w:t>
      </w:r>
    </w:p>
    <w:p w14:paraId="2B483902" w14:textId="485802CD" w:rsidR="006D57F9" w:rsidRPr="00740261" w:rsidRDefault="000E1A71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  <w:r w:rsidRPr="00740261">
        <w:rPr>
          <w:rFonts w:eastAsiaTheme="minorEastAsia" w:cstheme="minorHAnsi"/>
          <w:sz w:val="24"/>
          <w:szCs w:val="24"/>
          <w:lang w:val="it-IT" w:eastAsia="it-IT"/>
        </w:rPr>
        <w:t>Per questo motivo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161BCC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le nostre agenzie sul territorio ci riportano che 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>tutto il comparto delle attività commerciali che vivono di turismo, ovvero ristoranti, alberghi, B&amp;B</w:t>
      </w:r>
      <w:r w:rsidR="00455B54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negozi di </w:t>
      </w:r>
      <w:proofErr w:type="gramStart"/>
      <w:r w:rsidR="00455B54" w:rsidRPr="00740261">
        <w:rPr>
          <w:rFonts w:eastAsiaTheme="minorEastAsia" w:cstheme="minorHAnsi"/>
          <w:sz w:val="24"/>
          <w:szCs w:val="24"/>
          <w:lang w:val="it-IT" w:eastAsia="it-IT"/>
        </w:rPr>
        <w:t>brand</w:t>
      </w:r>
      <w:proofErr w:type="gramEnd"/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, sono sempre alla ricerca di posizionamenti strategici, nelle vie di maggior flusso pedonale </w:t>
      </w:r>
      <w:r w:rsidR="00455B54" w:rsidRPr="00740261">
        <w:rPr>
          <w:rFonts w:eastAsiaTheme="minorEastAsia" w:cstheme="minorHAnsi"/>
          <w:sz w:val="24"/>
          <w:szCs w:val="24"/>
          <w:lang w:val="it-IT" w:eastAsia="it-IT"/>
        </w:rPr>
        <w:t>e nelle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strade di collegamento tra le principali piazze e musei</w:t>
      </w:r>
      <w:r w:rsidR="00107BB0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(</w:t>
      </w:r>
      <w:r w:rsidR="00D54BC0" w:rsidRPr="00740261">
        <w:rPr>
          <w:rFonts w:eastAsiaTheme="minorEastAsia" w:cstheme="minorHAnsi"/>
          <w:sz w:val="24"/>
          <w:szCs w:val="24"/>
          <w:lang w:val="it-IT" w:eastAsia="it-IT"/>
        </w:rPr>
        <w:t>tra gli Uffizi e l’Accademia)</w:t>
      </w:r>
      <w:r w:rsidR="00455B54" w:rsidRPr="00740261">
        <w:rPr>
          <w:rFonts w:eastAsiaTheme="minorEastAsia" w:cstheme="minorHAnsi"/>
          <w:sz w:val="24"/>
          <w:szCs w:val="24"/>
          <w:lang w:val="it-IT" w:eastAsia="it-IT"/>
        </w:rPr>
        <w:t>; i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nfatti, in queste strade, si registra un incremento, sia nel numero di transazioni che </w:t>
      </w:r>
      <w:r w:rsidR="00455B54" w:rsidRPr="00740261">
        <w:rPr>
          <w:rFonts w:eastAsiaTheme="minorEastAsia" w:cstheme="minorHAnsi"/>
          <w:sz w:val="24"/>
          <w:szCs w:val="24"/>
          <w:lang w:val="it-IT" w:eastAsia="it-IT"/>
        </w:rPr>
        <w:t>dei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valor</w:t>
      </w:r>
      <w:r w:rsidR="00455B54" w:rsidRPr="00740261">
        <w:rPr>
          <w:rFonts w:eastAsiaTheme="minorEastAsia" w:cstheme="minorHAnsi"/>
          <w:sz w:val="24"/>
          <w:szCs w:val="24"/>
          <w:lang w:val="it-IT" w:eastAsia="it-IT"/>
        </w:rPr>
        <w:t>i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medi</w:t>
      </w:r>
      <w:r w:rsidR="00107BB0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. </w:t>
      </w:r>
    </w:p>
    <w:p w14:paraId="7686DC51" w14:textId="2865889F" w:rsidR="008844BC" w:rsidRPr="00740261" w:rsidRDefault="006D57F9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  <w:r w:rsidRPr="00740261">
        <w:rPr>
          <w:rFonts w:eastAsiaTheme="minorEastAsia" w:cstheme="minorHAnsi"/>
          <w:sz w:val="24"/>
          <w:szCs w:val="24"/>
          <w:lang w:val="it-IT" w:eastAsia="it-IT"/>
        </w:rPr>
        <w:t>Ma di contropartita</w:t>
      </w:r>
      <w:r w:rsidR="00455B54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segnaliamo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un f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>enomeno degno di interesse</w:t>
      </w:r>
      <w:r w:rsidR="00455B54" w:rsidRPr="00740261">
        <w:rPr>
          <w:rFonts w:eastAsiaTheme="minorEastAsia" w:cstheme="minorHAnsi"/>
          <w:sz w:val="24"/>
          <w:szCs w:val="24"/>
          <w:lang w:val="it-IT" w:eastAsia="it-IT"/>
        </w:rPr>
        <w:t>;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ovvero 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>la ridotta longevità delle nuove imprese commerciali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che si sono avviate negli ultimi anni; </w:t>
      </w:r>
      <w:r w:rsidR="00E40063" w:rsidRPr="00740261">
        <w:rPr>
          <w:rFonts w:eastAsiaTheme="minorEastAsia" w:cstheme="minorHAnsi"/>
          <w:sz w:val="24"/>
          <w:szCs w:val="24"/>
          <w:lang w:val="it-IT" w:eastAsia="it-IT"/>
        </w:rPr>
        <w:t>q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uesta tendenza, mai registrata prima, </w:t>
      </w:r>
      <w:r w:rsidR="0051641D" w:rsidRPr="00740261">
        <w:rPr>
          <w:rFonts w:eastAsiaTheme="minorEastAsia" w:cstheme="minorHAnsi"/>
          <w:sz w:val="24"/>
          <w:szCs w:val="24"/>
          <w:lang w:val="it-IT" w:eastAsia="it-IT"/>
        </w:rPr>
        <w:t>può essere sinonimo</w:t>
      </w:r>
      <w:r w:rsidR="00E40063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, </w:t>
      </w:r>
      <w:r w:rsidR="0051641D" w:rsidRPr="00740261">
        <w:rPr>
          <w:rFonts w:eastAsiaTheme="minorEastAsia" w:cstheme="minorHAnsi"/>
          <w:sz w:val="24"/>
          <w:szCs w:val="24"/>
          <w:lang w:val="it-IT" w:eastAsia="it-IT"/>
        </w:rPr>
        <w:t>d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>i</w:t>
      </w:r>
      <w:r w:rsidR="0051641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un eccessivo aumento dell</w:t>
      </w:r>
      <w:r w:rsidR="008A050C">
        <w:rPr>
          <w:rFonts w:eastAsiaTheme="minorEastAsia" w:cstheme="minorHAnsi"/>
          <w:sz w:val="24"/>
          <w:szCs w:val="24"/>
          <w:lang w:val="it-IT" w:eastAsia="it-IT"/>
        </w:rPr>
        <w:t>a</w:t>
      </w:r>
      <w:r w:rsidR="0051641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concorrenza per le singole categorie</w:t>
      </w:r>
      <w:r w:rsidR="00E40063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8844BC" w:rsidRPr="00740261">
        <w:rPr>
          <w:rFonts w:eastAsiaTheme="minorEastAsia" w:cstheme="minorHAnsi"/>
          <w:sz w:val="24"/>
          <w:szCs w:val="24"/>
          <w:lang w:val="it-IT" w:eastAsia="it-IT"/>
        </w:rPr>
        <w:t>merceologiche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51641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e 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>probabilmente</w:t>
      </w:r>
      <w:r w:rsidR="00E40063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8844BC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dall’eccessivo </w:t>
      </w:r>
      <w:r w:rsidR="00E40063" w:rsidRPr="00740261">
        <w:rPr>
          <w:rFonts w:eastAsiaTheme="minorEastAsia" w:cstheme="minorHAnsi"/>
          <w:sz w:val="24"/>
          <w:szCs w:val="24"/>
          <w:lang w:val="it-IT" w:eastAsia="it-IT"/>
        </w:rPr>
        <w:t>aumento dei costi fissi</w:t>
      </w:r>
      <w:r w:rsidR="00301D67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e degli interessi bancari</w:t>
      </w:r>
      <w:r w:rsidR="007419F5" w:rsidRPr="00740261">
        <w:rPr>
          <w:rFonts w:eastAsiaTheme="minorEastAsia" w:cstheme="minorHAnsi"/>
          <w:sz w:val="24"/>
          <w:szCs w:val="24"/>
          <w:lang w:val="it-IT" w:eastAsia="it-IT"/>
        </w:rPr>
        <w:t>.</w:t>
      </w:r>
      <w:r w:rsidR="00301D67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</w:p>
    <w:p w14:paraId="7B6F9360" w14:textId="3D2920FF" w:rsidR="00BE7F53" w:rsidRPr="00740261" w:rsidRDefault="00BE7F53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  <w:r w:rsidRPr="00740261">
        <w:rPr>
          <w:rFonts w:eastAsiaTheme="minorEastAsia" w:cstheme="minorHAnsi"/>
          <w:sz w:val="24"/>
          <w:szCs w:val="24"/>
          <w:lang w:val="it-IT" w:eastAsia="it-IT"/>
        </w:rPr>
        <w:t>La maggior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>i richieste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nei quartieri centrali 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>sono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strettamente legate al turismo; di queste ormai oltre il 30 % </w:t>
      </w:r>
      <w:r w:rsidR="00C92A8C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è 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>gestita da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imprenditori di nazionalità ester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>a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: in primis la comunità </w:t>
      </w:r>
      <w:r w:rsidR="008A050C">
        <w:rPr>
          <w:rFonts w:eastAsiaTheme="minorEastAsia" w:cstheme="minorHAnsi"/>
          <w:sz w:val="24"/>
          <w:szCs w:val="24"/>
          <w:lang w:val="it-IT" w:eastAsia="it-IT"/>
        </w:rPr>
        <w:t>c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>inese,</w:t>
      </w:r>
      <w:r w:rsidR="004300D7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C92A8C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quella </w:t>
      </w:r>
      <w:r w:rsidR="008A050C">
        <w:rPr>
          <w:rFonts w:eastAsiaTheme="minorEastAsia" w:cstheme="minorHAnsi"/>
          <w:sz w:val="24"/>
          <w:szCs w:val="24"/>
          <w:lang w:val="it-IT" w:eastAsia="it-IT"/>
        </w:rPr>
        <w:t>a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>lbanese</w:t>
      </w:r>
      <w:r w:rsidR="00C92A8C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, quella </w:t>
      </w:r>
      <w:r w:rsidR="008A050C">
        <w:rPr>
          <w:rFonts w:eastAsiaTheme="minorEastAsia" w:cstheme="minorHAnsi"/>
          <w:sz w:val="24"/>
          <w:szCs w:val="24"/>
          <w:lang w:val="it-IT" w:eastAsia="it-IT"/>
        </w:rPr>
        <w:t>i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raniana e del </w:t>
      </w:r>
      <w:r w:rsidR="00C92A8C" w:rsidRPr="00740261">
        <w:rPr>
          <w:rFonts w:eastAsiaTheme="minorEastAsia" w:cstheme="minorHAnsi"/>
          <w:sz w:val="24"/>
          <w:szCs w:val="24"/>
          <w:lang w:val="it-IT" w:eastAsia="it-IT"/>
        </w:rPr>
        <w:t>Bangladesh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>.</w:t>
      </w:r>
    </w:p>
    <w:p w14:paraId="0AAC1E1E" w14:textId="0DB4CD16" w:rsidR="00027222" w:rsidRPr="00740261" w:rsidRDefault="00107BB0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  <w:r w:rsidRPr="00740261">
        <w:rPr>
          <w:rFonts w:eastAsiaTheme="minorEastAsia" w:cstheme="minorHAnsi"/>
          <w:sz w:val="24"/>
          <w:szCs w:val="24"/>
          <w:lang w:val="it-IT" w:eastAsia="it-IT"/>
        </w:rPr>
        <w:t>L’</w:t>
      </w:r>
      <w:r w:rsidR="00C92A8C" w:rsidRPr="00740261">
        <w:rPr>
          <w:rFonts w:eastAsiaTheme="minorEastAsia" w:cstheme="minorHAnsi"/>
          <w:sz w:val="24"/>
          <w:szCs w:val="24"/>
          <w:lang w:val="it-IT" w:eastAsia="it-IT"/>
        </w:rPr>
        <w:t>amministrazione comunale</w:t>
      </w:r>
      <w:r w:rsidR="008A050C">
        <w:rPr>
          <w:rFonts w:eastAsiaTheme="minorEastAsia" w:cstheme="minorHAnsi"/>
          <w:sz w:val="24"/>
          <w:szCs w:val="24"/>
          <w:lang w:val="it-IT" w:eastAsia="it-IT"/>
        </w:rPr>
        <w:t>,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ol</w:t>
      </w:r>
      <w:r w:rsidR="00C92A8C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tre a </w:t>
      </w:r>
      <w:proofErr w:type="gramStart"/>
      <w:r w:rsidR="00C92A8C" w:rsidRPr="00740261">
        <w:rPr>
          <w:rFonts w:eastAsiaTheme="minorEastAsia" w:cstheme="minorHAnsi"/>
          <w:sz w:val="24"/>
          <w:szCs w:val="24"/>
          <w:lang w:val="it-IT" w:eastAsia="it-IT"/>
        </w:rPr>
        <w:t>porre in essere</w:t>
      </w:r>
      <w:proofErr w:type="gramEnd"/>
      <w:r w:rsidR="00C92A8C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374DB6" w:rsidRPr="00740261">
        <w:rPr>
          <w:rFonts w:eastAsiaTheme="minorEastAsia" w:cstheme="minorHAnsi"/>
          <w:sz w:val="24"/>
          <w:szCs w:val="24"/>
          <w:lang w:val="it-IT" w:eastAsia="it-IT"/>
        </w:rPr>
        <w:t>lavori strutturali di riqualificazione del tessuto cittadino, quali la tranvia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con l’</w:t>
      </w:r>
      <w:r w:rsidR="00374DB6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ormai prossima attivazione della linea San Marco, 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>ha introdotto</w:t>
      </w:r>
      <w:r w:rsidR="00301D67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maggiori restrizioni a tutela del</w:t>
      </w:r>
      <w:r w:rsidR="006D0810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decoro</w:t>
      </w:r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del patrimonio culturale del</w:t>
      </w:r>
      <w:r w:rsidR="006D0810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301D67" w:rsidRPr="00740261">
        <w:rPr>
          <w:rFonts w:eastAsiaTheme="minorEastAsia" w:cstheme="minorHAnsi"/>
          <w:sz w:val="24"/>
          <w:szCs w:val="24"/>
          <w:lang w:val="it-IT" w:eastAsia="it-IT"/>
        </w:rPr>
        <w:t>centro storico</w:t>
      </w:r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. </w:t>
      </w:r>
      <w:r w:rsidR="004300D7" w:rsidRPr="00740261">
        <w:rPr>
          <w:rFonts w:eastAsiaTheme="minorEastAsia" w:cstheme="minorHAnsi"/>
          <w:sz w:val="24"/>
          <w:szCs w:val="24"/>
          <w:lang w:val="it-IT" w:eastAsia="it-IT"/>
        </w:rPr>
        <w:t>Oltre alla</w:t>
      </w:r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374DB6" w:rsidRPr="00740261">
        <w:rPr>
          <w:rFonts w:eastAsiaTheme="minorEastAsia" w:cstheme="minorHAnsi"/>
          <w:sz w:val="24"/>
          <w:szCs w:val="24"/>
          <w:lang w:val="it-IT" w:eastAsia="it-IT"/>
        </w:rPr>
        <w:t>contingentazione delle</w:t>
      </w:r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licenze di somministrazione nell’area Unesco</w:t>
      </w:r>
      <w:r w:rsidR="004300D7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, </w:t>
      </w:r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nel 2023 sono state introdotte </w:t>
      </w:r>
      <w:r w:rsidR="00374DB6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ulteriori </w:t>
      </w:r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limitazioni 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>che coinvolgono circa una decina tra strade e piazze del centro</w:t>
      </w:r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, a novembre del 2024 queste limitazioni si sono estese in altre 20 strade. </w:t>
      </w:r>
    </w:p>
    <w:p w14:paraId="630E3A22" w14:textId="2BF97D8E" w:rsidR="00457B75" w:rsidRPr="00740261" w:rsidRDefault="00027222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Ne consegue che </w:t>
      </w:r>
      <w:r w:rsidR="0048311F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nelle strade 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>coinvolte</w:t>
      </w:r>
      <w:r w:rsidR="0048311F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>potranno essere insediate solo queste tipologie di attività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>, ovvero</w:t>
      </w:r>
      <w:r w:rsidR="008A050C">
        <w:rPr>
          <w:rFonts w:eastAsiaTheme="minorEastAsia" w:cstheme="minorHAnsi"/>
          <w:sz w:val="24"/>
          <w:szCs w:val="24"/>
          <w:lang w:val="it-IT" w:eastAsia="it-IT"/>
        </w:rPr>
        <w:t xml:space="preserve"> c</w:t>
      </w:r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ommercio al dettaglio di abbigliamento sia alta moda che </w:t>
      </w:r>
      <w:proofErr w:type="spellStart"/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>pret</w:t>
      </w:r>
      <w:proofErr w:type="spellEnd"/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a porter, </w:t>
      </w:r>
      <w:r w:rsidR="0048311F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banche e assicurazioni, </w:t>
      </w:r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librerie, gallerie d’arte e antiquari, arredamento e </w:t>
      </w:r>
      <w:r w:rsidR="0048311F" w:rsidRPr="00740261">
        <w:rPr>
          <w:rFonts w:eastAsiaTheme="minorEastAsia" w:cstheme="minorHAnsi"/>
          <w:sz w:val="24"/>
          <w:szCs w:val="24"/>
          <w:lang w:val="it-IT" w:eastAsia="it-IT"/>
        </w:rPr>
        <w:t>design</w:t>
      </w:r>
      <w:r w:rsidR="00457B75" w:rsidRPr="00740261">
        <w:rPr>
          <w:rFonts w:eastAsiaTheme="minorEastAsia" w:cstheme="minorHAnsi"/>
          <w:sz w:val="24"/>
          <w:szCs w:val="24"/>
          <w:lang w:val="it-IT" w:eastAsia="it-IT"/>
        </w:rPr>
        <w:t>, gioelli e preziosi, artigianato artistico e fiorai</w:t>
      </w:r>
      <w:r w:rsidR="0048311F" w:rsidRPr="00740261">
        <w:rPr>
          <w:rFonts w:eastAsiaTheme="minorEastAsia" w:cstheme="minorHAnsi"/>
          <w:sz w:val="24"/>
          <w:szCs w:val="24"/>
          <w:lang w:val="it-IT" w:eastAsia="it-IT"/>
        </w:rPr>
        <w:t>.</w:t>
      </w:r>
    </w:p>
    <w:p w14:paraId="30485EAF" w14:textId="5BB5C86F" w:rsidR="00CC69BC" w:rsidRPr="00740261" w:rsidRDefault="00CC69BC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  <w:r w:rsidRPr="00740261">
        <w:rPr>
          <w:rFonts w:eastAsiaTheme="minorEastAsia" w:cstheme="minorHAnsi"/>
          <w:sz w:val="24"/>
          <w:szCs w:val="24"/>
          <w:lang w:val="it-IT" w:eastAsia="it-IT"/>
        </w:rPr>
        <w:t>La ricaduta sulla diminuzione dei possibili nuovi canoni di locazione in alcune di queste strade</w:t>
      </w:r>
      <w:r w:rsidR="008A050C">
        <w:rPr>
          <w:rFonts w:eastAsiaTheme="minorEastAsia" w:cstheme="minorHAnsi"/>
          <w:sz w:val="24"/>
          <w:szCs w:val="24"/>
          <w:lang w:val="it-IT" w:eastAsia="it-IT"/>
        </w:rPr>
        <w:t>,</w:t>
      </w:r>
      <w:r w:rsidR="004300D7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ad eccezione di 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>quelle</w:t>
      </w:r>
      <w:r w:rsidR="00D54BC0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>occupate dai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grandi marchi del lusso, sarà inevitabile a causa della scarsità di richieste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presenti 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per 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>queste tipologie.</w:t>
      </w:r>
    </w:p>
    <w:p w14:paraId="53F2E978" w14:textId="0BF4054F" w:rsidR="00BE7F53" w:rsidRPr="00740261" w:rsidRDefault="00BE7F53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  <w:r w:rsidRPr="008A050C">
        <w:rPr>
          <w:rFonts w:eastAsiaTheme="minorEastAsia" w:cstheme="minorHAnsi"/>
          <w:b/>
          <w:bCs/>
          <w:i/>
          <w:iCs/>
          <w:sz w:val="24"/>
          <w:szCs w:val="24"/>
          <w:lang w:val="it-IT" w:eastAsia="it-IT"/>
        </w:rPr>
        <w:t>Fuori dal centro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lo scenario è leggermente diverso</w:t>
      </w:r>
      <w:r w:rsidR="008A050C">
        <w:rPr>
          <w:rFonts w:eastAsiaTheme="minorEastAsia" w:cstheme="minorHAnsi"/>
          <w:sz w:val="24"/>
          <w:szCs w:val="24"/>
          <w:lang w:val="it-IT" w:eastAsia="it-IT"/>
        </w:rPr>
        <w:t xml:space="preserve">, 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segnaliamo 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>un leggero impoverimento di tutti i piccoli esercizi di vicinat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>o causa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>to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del continuo aumento degli acquisti on-line e della forte presenza di centri commerciali.</w:t>
      </w:r>
    </w:p>
    <w:p w14:paraId="2BACBDD0" w14:textId="1761BB21" w:rsidR="0018296D" w:rsidRPr="00740261" w:rsidRDefault="008A050C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  <w:r>
        <w:rPr>
          <w:rFonts w:eastAsiaTheme="minorEastAsia" w:cstheme="minorHAnsi"/>
          <w:sz w:val="24"/>
          <w:szCs w:val="24"/>
          <w:lang w:val="it-IT" w:eastAsia="it-IT"/>
        </w:rPr>
        <w:t>Prevalgono nuove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attività </w:t>
      </w:r>
      <w:r>
        <w:rPr>
          <w:rFonts w:eastAsiaTheme="minorEastAsia" w:cstheme="minorHAnsi"/>
          <w:sz w:val="24"/>
          <w:szCs w:val="24"/>
          <w:lang w:val="it-IT" w:eastAsia="it-IT"/>
        </w:rPr>
        <w:t>l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>egate ai servizi alla persona, quali parrucchieri, centri estetici, fisioterapisti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, toelettatura per animali 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e 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attività di 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servizi 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>generic</w:t>
      </w:r>
      <w:r w:rsidR="009C399C" w:rsidRPr="00740261">
        <w:rPr>
          <w:rFonts w:eastAsiaTheme="minorEastAsia" w:cstheme="minorHAnsi"/>
          <w:sz w:val="24"/>
          <w:szCs w:val="24"/>
          <w:lang w:val="it-IT" w:eastAsia="it-IT"/>
        </w:rPr>
        <w:t>i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>che si spostano al piano strada per contenere i costi ed avere maggior visibilità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, </w:t>
      </w:r>
      <w:r>
        <w:rPr>
          <w:rFonts w:eastAsiaTheme="minorEastAsia" w:cstheme="minorHAnsi"/>
          <w:sz w:val="24"/>
          <w:szCs w:val="24"/>
          <w:lang w:val="it-IT" w:eastAsia="it-IT"/>
        </w:rPr>
        <w:t xml:space="preserve">come 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>agenzie immobiliari, studi dentisti, uffici assicurativi e finanziari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>.</w:t>
      </w:r>
    </w:p>
    <w:p w14:paraId="77F65E25" w14:textId="5CE0A0A1" w:rsidR="0018296D" w:rsidRPr="00740261" w:rsidRDefault="0018296D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I tagli più grandi </w:t>
      </w:r>
      <w:r w:rsidR="004300D7" w:rsidRPr="00740261">
        <w:rPr>
          <w:rFonts w:eastAsiaTheme="minorEastAsia" w:cstheme="minorHAnsi"/>
          <w:sz w:val="24"/>
          <w:szCs w:val="24"/>
          <w:lang w:val="it-IT" w:eastAsia="it-IT"/>
        </w:rPr>
        <w:t>(</w:t>
      </w:r>
      <w:r w:rsidR="00F72E8E" w:rsidRPr="00740261">
        <w:rPr>
          <w:rFonts w:eastAsiaTheme="minorEastAsia" w:cstheme="minorHAnsi"/>
          <w:sz w:val="24"/>
          <w:szCs w:val="24"/>
          <w:lang w:val="it-IT" w:eastAsia="it-IT"/>
        </w:rPr>
        <w:t>a partire da 150 mq)</w:t>
      </w:r>
      <w:r w:rsidR="00161BCC" w:rsidRPr="00740261">
        <w:rPr>
          <w:rFonts w:eastAsiaTheme="minorEastAsia" w:cstheme="minorHAnsi"/>
          <w:sz w:val="24"/>
          <w:szCs w:val="24"/>
          <w:lang w:val="it-IT" w:eastAsia="it-IT"/>
        </w:rPr>
        <w:t>, come confermano i professionisti delle agenzie Tecnocasa e Tecnorete Immobili per l’Impresa,</w:t>
      </w:r>
      <w:r w:rsidR="004300D7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sono invece d’interesse 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per attività di somministrazione, bar, 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>aziende legate all’arredamento, cucine, infissi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, </w:t>
      </w:r>
      <w:r w:rsidRPr="00740261">
        <w:rPr>
          <w:rFonts w:eastAsiaTheme="minorEastAsia" w:cstheme="minorHAnsi"/>
          <w:sz w:val="24"/>
          <w:szCs w:val="24"/>
          <w:lang w:val="it-IT" w:eastAsia="it-IT"/>
        </w:rPr>
        <w:t>bazar per la casa e outlet di abbigliamento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>.</w:t>
      </w:r>
    </w:p>
    <w:p w14:paraId="2B634A78" w14:textId="4C3FFA28" w:rsidR="00CB1891" w:rsidRDefault="008A050C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  <w:r>
        <w:rPr>
          <w:rFonts w:eastAsiaTheme="minorEastAsia" w:cstheme="minorHAnsi"/>
          <w:sz w:val="24"/>
          <w:szCs w:val="24"/>
          <w:lang w:val="it-IT" w:eastAsia="it-IT"/>
        </w:rPr>
        <w:lastRenderedPageBreak/>
        <w:t xml:space="preserve">Sempre vivo l’interesse da parte degli </w:t>
      </w:r>
      <w:r w:rsidR="0018296D" w:rsidRPr="008A050C">
        <w:rPr>
          <w:rFonts w:eastAsiaTheme="minorEastAsia" w:cstheme="minorHAnsi"/>
          <w:b/>
          <w:bCs/>
          <w:i/>
          <w:iCs/>
          <w:sz w:val="24"/>
          <w:szCs w:val="24"/>
          <w:lang w:val="it-IT" w:eastAsia="it-IT"/>
        </w:rPr>
        <w:t>investitori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>.</w:t>
      </w:r>
      <w:r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Con l’aumento dei tassi d’interesse, la minor certezza di 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solvibilità e 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permanenza 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dei conduttori 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nei locali locati, il tasso di capitalizzazione 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richiesto 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>è in aumento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>.</w:t>
      </w:r>
      <w:r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>Ad eccezione del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top location centrali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dove ancora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i fondi d’investimento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acce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>t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>ta</w:t>
      </w:r>
      <w:r w:rsidR="00027222" w:rsidRPr="00740261">
        <w:rPr>
          <w:rFonts w:eastAsiaTheme="minorEastAsia" w:cstheme="minorHAnsi"/>
          <w:sz w:val="24"/>
          <w:szCs w:val="24"/>
          <w:lang w:val="it-IT" w:eastAsia="it-IT"/>
        </w:rPr>
        <w:t>n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>o un rapporto tra prezzo di acquisto e canone di locazione variabile tra il 5</w:t>
      </w:r>
      <w:r w:rsidR="009C399C" w:rsidRPr="00740261">
        <w:rPr>
          <w:rFonts w:eastAsiaTheme="minorEastAsia" w:cstheme="minorHAnsi"/>
          <w:sz w:val="24"/>
          <w:szCs w:val="24"/>
          <w:lang w:val="it-IT" w:eastAsia="it-IT"/>
        </w:rPr>
        <w:t>,5%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ed il 6 %, nelle zone intermedie del centro si cerca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>no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rendimenti tra il 7 e </w:t>
      </w:r>
      <w:r w:rsidR="00D8198C">
        <w:rPr>
          <w:rFonts w:eastAsiaTheme="minorEastAsia" w:cstheme="minorHAnsi"/>
          <w:sz w:val="24"/>
          <w:szCs w:val="24"/>
          <w:lang w:val="it-IT" w:eastAsia="it-IT"/>
        </w:rPr>
        <w:t>l’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>8,5%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; 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nelle zone fuori dal centro storico </w:t>
      </w:r>
      <w:r w:rsidR="009C399C" w:rsidRPr="00740261">
        <w:rPr>
          <w:rFonts w:eastAsiaTheme="minorEastAsia" w:cstheme="minorHAnsi"/>
          <w:sz w:val="24"/>
          <w:szCs w:val="24"/>
          <w:lang w:val="it-IT" w:eastAsia="it-IT"/>
        </w:rPr>
        <w:t>questa</w:t>
      </w:r>
      <w:r w:rsidR="0018296D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CB1891" w:rsidRPr="00740261">
        <w:rPr>
          <w:rFonts w:eastAsiaTheme="minorEastAsia" w:cstheme="minorHAnsi"/>
          <w:sz w:val="24"/>
          <w:szCs w:val="24"/>
          <w:lang w:val="it-IT" w:eastAsia="it-IT"/>
        </w:rPr>
        <w:t>percentuale oscilla tra il 10 ed il 12 % del canone di locazione normalizzato.</w:t>
      </w:r>
      <w:r>
        <w:rPr>
          <w:rFonts w:eastAsiaTheme="minorEastAsia" w:cstheme="minorHAnsi"/>
          <w:sz w:val="24"/>
          <w:szCs w:val="24"/>
          <w:lang w:val="it-IT" w:eastAsia="it-IT"/>
        </w:rPr>
        <w:t xml:space="preserve"> </w:t>
      </w:r>
      <w:r w:rsidR="00CB1891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Grazie a queste </w:t>
      </w:r>
      <w:r w:rsidR="009C399C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nuove </w:t>
      </w:r>
      <w:r w:rsidR="00CB1891" w:rsidRPr="00740261">
        <w:rPr>
          <w:rFonts w:eastAsiaTheme="minorEastAsia" w:cstheme="minorHAnsi"/>
          <w:sz w:val="24"/>
          <w:szCs w:val="24"/>
          <w:lang w:val="it-IT" w:eastAsia="it-IT"/>
        </w:rPr>
        <w:t>percentuali di redditività la ricerca su Firenze è molto dinamica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 e vivace con forte </w:t>
      </w:r>
      <w:r w:rsidR="00CB1891" w:rsidRPr="00740261">
        <w:rPr>
          <w:rFonts w:eastAsiaTheme="minorEastAsia" w:cstheme="minorHAnsi"/>
          <w:sz w:val="24"/>
          <w:szCs w:val="24"/>
          <w:lang w:val="it-IT" w:eastAsia="it-IT"/>
        </w:rPr>
        <w:t>attra</w:t>
      </w:r>
      <w:r w:rsidR="000E1A71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zione sia di </w:t>
      </w:r>
      <w:r w:rsidR="00CB1891" w:rsidRPr="00740261">
        <w:rPr>
          <w:rFonts w:eastAsiaTheme="minorEastAsia" w:cstheme="minorHAnsi"/>
          <w:sz w:val="24"/>
          <w:szCs w:val="24"/>
          <w:lang w:val="it-IT" w:eastAsia="it-IT"/>
        </w:rPr>
        <w:t xml:space="preserve">investitori </w:t>
      </w:r>
      <w:r w:rsidR="00D54BC0" w:rsidRPr="00740261">
        <w:rPr>
          <w:rFonts w:eastAsiaTheme="minorEastAsia" w:cstheme="minorHAnsi"/>
          <w:sz w:val="24"/>
          <w:szCs w:val="24"/>
          <w:lang w:val="it-IT" w:eastAsia="it-IT"/>
        </w:rPr>
        <w:t>i</w:t>
      </w:r>
      <w:r w:rsidR="00CB1891" w:rsidRPr="00740261">
        <w:rPr>
          <w:rFonts w:eastAsiaTheme="minorEastAsia" w:cstheme="minorHAnsi"/>
          <w:sz w:val="24"/>
          <w:szCs w:val="24"/>
          <w:lang w:val="it-IT" w:eastAsia="it-IT"/>
        </w:rPr>
        <w:t>taliani che internazionali</w:t>
      </w:r>
      <w:r w:rsidR="00E745A1">
        <w:rPr>
          <w:rFonts w:eastAsiaTheme="minorEastAsia" w:cstheme="minorHAnsi"/>
          <w:sz w:val="24"/>
          <w:szCs w:val="24"/>
          <w:lang w:val="it-IT" w:eastAsia="it-IT"/>
        </w:rPr>
        <w:t>”</w:t>
      </w:r>
      <w:r w:rsidR="00CB1891" w:rsidRPr="00740261">
        <w:rPr>
          <w:rFonts w:eastAsiaTheme="minorEastAsia" w:cstheme="minorHAnsi"/>
          <w:sz w:val="24"/>
          <w:szCs w:val="24"/>
          <w:lang w:val="it-IT" w:eastAsia="it-IT"/>
        </w:rPr>
        <w:t>.</w:t>
      </w:r>
    </w:p>
    <w:p w14:paraId="05F796DA" w14:textId="77777777" w:rsidR="008A050C" w:rsidRDefault="008A050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5FBCAF24" w14:textId="09979E8D" w:rsidR="008A050C" w:rsidRDefault="008A050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373003">
        <w:rPr>
          <w:b/>
          <w:bCs/>
          <w:color w:val="C00000"/>
          <w:sz w:val="28"/>
          <w:szCs w:val="28"/>
        </w:rPr>
        <w:t xml:space="preserve">TREND PREZZI E LOCAZIONI IMMOBILI PER L’IMPRESA </w:t>
      </w:r>
      <w:r>
        <w:rPr>
          <w:b/>
          <w:bCs/>
          <w:color w:val="C00000"/>
          <w:sz w:val="28"/>
          <w:szCs w:val="28"/>
        </w:rPr>
        <w:t>-</w:t>
      </w:r>
      <w:r w:rsidRPr="00373003">
        <w:rPr>
          <w:b/>
          <w:bCs/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FIRENZE</w:t>
      </w:r>
      <w:r w:rsidRPr="00373003">
        <w:rPr>
          <w:b/>
          <w:bCs/>
          <w:color w:val="C00000"/>
          <w:sz w:val="28"/>
          <w:szCs w:val="28"/>
        </w:rPr>
        <w:t xml:space="preserve"> CITTA’</w:t>
      </w:r>
    </w:p>
    <w:p w14:paraId="6497EF4A" w14:textId="1ABCC2D7" w:rsidR="008A050C" w:rsidRPr="00373003" w:rsidRDefault="008A050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(</w:t>
      </w:r>
      <w:proofErr w:type="spellStart"/>
      <w:r>
        <w:rPr>
          <w:b/>
          <w:bCs/>
          <w:color w:val="C00000"/>
          <w:sz w:val="28"/>
          <w:szCs w:val="28"/>
        </w:rPr>
        <w:t>variazioni</w:t>
      </w:r>
      <w:proofErr w:type="spellEnd"/>
      <w:r>
        <w:rPr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b/>
          <w:bCs/>
          <w:color w:val="C00000"/>
          <w:sz w:val="28"/>
          <w:szCs w:val="28"/>
        </w:rPr>
        <w:t>percentuali</w:t>
      </w:r>
      <w:proofErr w:type="spellEnd"/>
      <w:r>
        <w:rPr>
          <w:b/>
          <w:bCs/>
          <w:color w:val="C00000"/>
          <w:sz w:val="28"/>
          <w:szCs w:val="28"/>
        </w:rPr>
        <w:t xml:space="preserve"> I </w:t>
      </w:r>
      <w:proofErr w:type="spellStart"/>
      <w:r>
        <w:rPr>
          <w:b/>
          <w:bCs/>
          <w:color w:val="C00000"/>
          <w:sz w:val="28"/>
          <w:szCs w:val="28"/>
        </w:rPr>
        <w:t>sem</w:t>
      </w:r>
      <w:proofErr w:type="spellEnd"/>
      <w:r>
        <w:rPr>
          <w:b/>
          <w:bCs/>
          <w:color w:val="C00000"/>
          <w:sz w:val="28"/>
          <w:szCs w:val="28"/>
        </w:rPr>
        <w:t xml:space="preserve"> 24 rispetto al II </w:t>
      </w:r>
      <w:proofErr w:type="spellStart"/>
      <w:r>
        <w:rPr>
          <w:b/>
          <w:bCs/>
          <w:color w:val="C00000"/>
          <w:sz w:val="28"/>
          <w:szCs w:val="28"/>
        </w:rPr>
        <w:t>sem</w:t>
      </w:r>
      <w:proofErr w:type="spellEnd"/>
      <w:r>
        <w:rPr>
          <w:b/>
          <w:bCs/>
          <w:color w:val="C00000"/>
          <w:sz w:val="28"/>
          <w:szCs w:val="28"/>
        </w:rPr>
        <w:t xml:space="preserve"> 23)</w:t>
      </w:r>
    </w:p>
    <w:p w14:paraId="365FB479" w14:textId="77777777" w:rsidR="008A050C" w:rsidRDefault="008A050C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</w:p>
    <w:p w14:paraId="228BF9AB" w14:textId="77777777" w:rsidR="008A050C" w:rsidRPr="008A050C" w:rsidRDefault="008A050C" w:rsidP="00ED42AA">
      <w:pPr>
        <w:spacing w:after="0"/>
        <w:jc w:val="both"/>
        <w:rPr>
          <w:rFonts w:eastAsia="Calibri" w:cs="Times New Roman"/>
          <w:b/>
          <w:bCs/>
          <w:color w:val="C00000"/>
        </w:rPr>
      </w:pPr>
      <w:r w:rsidRPr="008A050C">
        <w:rPr>
          <w:b/>
          <w:bCs/>
          <w:color w:val="C00000"/>
        </w:rPr>
        <w:t>CAPANNONI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  <w:gridCol w:w="1940"/>
        <w:gridCol w:w="1696"/>
      </w:tblGrid>
      <w:tr w:rsidR="008A050C" w14:paraId="24001906" w14:textId="77777777" w:rsidTr="008C652A">
        <w:trPr>
          <w:gridBefore w:val="1"/>
          <w:wBefore w:w="1940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E752C" w14:textId="0BD0550A" w:rsidR="008A050C" w:rsidRDefault="008A050C" w:rsidP="00D8198C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 xml:space="preserve">Nuovo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vicino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alle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arterie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comunicazione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1F586" w14:textId="77777777" w:rsidR="008A050C" w:rsidRDefault="008A050C" w:rsidP="00D8198C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 xml:space="preserve">Nuovo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lontano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dalle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arterie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comunicazione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4D5AB" w14:textId="77777777" w:rsidR="008A050C" w:rsidRDefault="008A050C" w:rsidP="00D8198C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Usato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vicino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alle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arterie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comunicazione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5DF9C" w14:textId="0855B6AF" w:rsidR="008A050C" w:rsidRDefault="008A050C" w:rsidP="00D8198C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Usato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lontano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dalle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arterie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comunicazione</w:t>
            </w:r>
            <w:proofErr w:type="spellEnd"/>
          </w:p>
        </w:tc>
      </w:tr>
      <w:tr w:rsidR="008A050C" w14:paraId="04AF58B6" w14:textId="77777777" w:rsidTr="008C652A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CBB3F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FF0000"/>
                <w:highlight w:val="yellow"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Prezzi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81EF9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93469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-5,6%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C8706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1,8%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4B3B8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0,0%</w:t>
            </w:r>
          </w:p>
        </w:tc>
      </w:tr>
      <w:tr w:rsidR="008A050C" w14:paraId="27B04CE2" w14:textId="77777777" w:rsidTr="008C652A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00CD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Canoni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locazione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AABA3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Nd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76D05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Nd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E4CBA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0,0%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27BB2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4,2%</w:t>
            </w:r>
          </w:p>
        </w:tc>
      </w:tr>
    </w:tbl>
    <w:p w14:paraId="31823F30" w14:textId="77777777" w:rsidR="008A050C" w:rsidRDefault="008A050C" w:rsidP="00ED42AA">
      <w:pPr>
        <w:spacing w:after="0"/>
        <w:jc w:val="both"/>
        <w:rPr>
          <w:rFonts w:eastAsia="Calibri" w:cs="Times New Roman"/>
        </w:rPr>
      </w:pPr>
    </w:p>
    <w:p w14:paraId="5E17C450" w14:textId="77777777" w:rsidR="008A050C" w:rsidRPr="008A050C" w:rsidRDefault="008A050C" w:rsidP="00D8198C">
      <w:pPr>
        <w:spacing w:after="0"/>
        <w:ind w:left="142" w:hanging="142"/>
        <w:jc w:val="both"/>
        <w:rPr>
          <w:b/>
          <w:bCs/>
          <w:color w:val="C00000"/>
        </w:rPr>
      </w:pPr>
      <w:r w:rsidRPr="008A050C">
        <w:rPr>
          <w:b/>
          <w:bCs/>
          <w:color w:val="C00000"/>
        </w:rPr>
        <w:t xml:space="preserve">LABORATORI </w:t>
      </w:r>
    </w:p>
    <w:tbl>
      <w:tblPr>
        <w:tblW w:w="36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619"/>
      </w:tblGrid>
      <w:tr w:rsidR="008A050C" w14:paraId="7E5EA3AD" w14:textId="77777777" w:rsidTr="00D8198C">
        <w:trPr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321E7" w14:textId="77777777" w:rsidR="008A050C" w:rsidRDefault="008A050C" w:rsidP="00D8198C">
            <w:pPr>
              <w:spacing w:after="0"/>
              <w:ind w:left="142" w:hanging="142"/>
              <w:jc w:val="both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Prezzi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89E3" w14:textId="77777777" w:rsidR="008A050C" w:rsidRDefault="008A050C" w:rsidP="00D8198C">
            <w:pPr>
              <w:spacing w:after="0"/>
              <w:ind w:left="142" w:hanging="142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1,0%</w:t>
            </w:r>
          </w:p>
        </w:tc>
      </w:tr>
      <w:tr w:rsidR="008A050C" w14:paraId="0F65CD03" w14:textId="77777777" w:rsidTr="00D8198C">
        <w:trPr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185D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Canoni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locazione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56CA4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2,4%</w:t>
            </w:r>
          </w:p>
        </w:tc>
      </w:tr>
    </w:tbl>
    <w:p w14:paraId="4F76A243" w14:textId="77777777" w:rsidR="008A050C" w:rsidRDefault="008A050C" w:rsidP="00ED42AA">
      <w:pPr>
        <w:spacing w:after="0"/>
        <w:jc w:val="both"/>
      </w:pPr>
    </w:p>
    <w:p w14:paraId="31DBC6C9" w14:textId="77777777" w:rsidR="008A050C" w:rsidRPr="008A050C" w:rsidRDefault="008A050C" w:rsidP="00ED42AA">
      <w:pPr>
        <w:spacing w:after="0"/>
        <w:jc w:val="both"/>
        <w:rPr>
          <w:b/>
          <w:bCs/>
          <w:color w:val="C00000"/>
        </w:rPr>
      </w:pPr>
      <w:r w:rsidRPr="008A050C">
        <w:rPr>
          <w:b/>
          <w:bCs/>
          <w:color w:val="C00000"/>
        </w:rPr>
        <w:t>NEGOZI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</w:tblGrid>
      <w:tr w:rsidR="008A050C" w14:paraId="114E731F" w14:textId="77777777" w:rsidTr="008C652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5E8BB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Negozi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E345B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Vie di passaggio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92DF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Vie non di passaggio</w:t>
            </w:r>
          </w:p>
        </w:tc>
      </w:tr>
      <w:tr w:rsidR="008A050C" w14:paraId="069FE37A" w14:textId="77777777" w:rsidTr="008C652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145A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Prezzi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07AFD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0,7%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B21E3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1,8%</w:t>
            </w:r>
          </w:p>
        </w:tc>
      </w:tr>
      <w:tr w:rsidR="008A050C" w14:paraId="0D4E6E9A" w14:textId="77777777" w:rsidTr="008C652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62E9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Canoni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locazione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6933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2,0%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99A3A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0,5%</w:t>
            </w:r>
          </w:p>
        </w:tc>
      </w:tr>
    </w:tbl>
    <w:p w14:paraId="14F5C105" w14:textId="77777777" w:rsidR="008A050C" w:rsidRDefault="008A050C" w:rsidP="00ED42AA">
      <w:pPr>
        <w:spacing w:after="0"/>
        <w:jc w:val="both"/>
        <w:rPr>
          <w:rFonts w:ascii="Calibri" w:hAnsi="Calibri" w:cs="Calibri"/>
          <w:b/>
          <w:bCs/>
          <w:i/>
          <w:iCs/>
        </w:rPr>
      </w:pPr>
    </w:p>
    <w:p w14:paraId="53AC5872" w14:textId="77777777" w:rsidR="008A050C" w:rsidRDefault="008A050C" w:rsidP="00ED42AA">
      <w:pPr>
        <w:spacing w:after="0"/>
        <w:jc w:val="both"/>
        <w:rPr>
          <w:rFonts w:ascii="Calibri" w:hAnsi="Calibri" w:cs="Calibri"/>
          <w:b/>
          <w:bCs/>
        </w:rPr>
      </w:pPr>
    </w:p>
    <w:p w14:paraId="4201D772" w14:textId="18AA2DD1" w:rsidR="008A050C" w:rsidRPr="008A050C" w:rsidRDefault="008A050C" w:rsidP="00ED42AA">
      <w:pPr>
        <w:spacing w:after="0"/>
        <w:jc w:val="both"/>
        <w:rPr>
          <w:b/>
          <w:bCs/>
          <w:color w:val="C00000"/>
        </w:rPr>
      </w:pPr>
      <w:r w:rsidRPr="008A050C">
        <w:rPr>
          <w:b/>
          <w:bCs/>
          <w:color w:val="C00000"/>
        </w:rPr>
        <w:t>UFFICI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03"/>
        <w:gridCol w:w="2126"/>
        <w:gridCol w:w="1843"/>
        <w:gridCol w:w="1842"/>
      </w:tblGrid>
      <w:tr w:rsidR="008A050C" w14:paraId="720488A9" w14:textId="77777777" w:rsidTr="008C652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998FA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Uffici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E5A5A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Nuovo in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centri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direzionali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D1CFD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Nuovo in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palazzine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residenziali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E09AC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Usato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centri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direzionali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5FDC0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Usato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palazzine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residenziali</w:t>
            </w:r>
            <w:proofErr w:type="spellEnd"/>
          </w:p>
        </w:tc>
      </w:tr>
      <w:tr w:rsidR="008A050C" w14:paraId="25F47A4C" w14:textId="77777777" w:rsidTr="008C652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BBA66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Prezzi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AB065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0,0%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E0E9F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3D463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0,9%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79FA6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3,7%</w:t>
            </w:r>
          </w:p>
        </w:tc>
      </w:tr>
      <w:tr w:rsidR="008A050C" w14:paraId="4188AADC" w14:textId="77777777" w:rsidTr="008C652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48B07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Canoni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locazione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66814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11,3%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3AD9D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2,9%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864E2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6,7%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30DE4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0,0%</w:t>
            </w:r>
          </w:p>
        </w:tc>
      </w:tr>
    </w:tbl>
    <w:p w14:paraId="32B9F22A" w14:textId="77777777" w:rsidR="008A050C" w:rsidRDefault="008A050C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</w:p>
    <w:p w14:paraId="07602921" w14:textId="77777777" w:rsidR="00D8198C" w:rsidRDefault="00D8198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6C668472" w14:textId="77777777" w:rsidR="00D8198C" w:rsidRDefault="00D8198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33612CBC" w14:textId="77777777" w:rsidR="00D8198C" w:rsidRDefault="00D8198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79B5DE19" w14:textId="77777777" w:rsidR="00D8198C" w:rsidRDefault="00D8198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61F9618B" w14:textId="77777777" w:rsidR="00D8198C" w:rsidRDefault="00D8198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63D27784" w14:textId="77777777" w:rsidR="00D8198C" w:rsidRDefault="00D8198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5DC052F8" w14:textId="77777777" w:rsidR="00D8198C" w:rsidRDefault="00D8198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33BC08EE" w14:textId="77777777" w:rsidR="00D8198C" w:rsidRDefault="00D8198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6EF2313E" w14:textId="363BEB3B" w:rsidR="008A050C" w:rsidRDefault="008A050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373003">
        <w:rPr>
          <w:b/>
          <w:bCs/>
          <w:color w:val="C00000"/>
          <w:sz w:val="28"/>
          <w:szCs w:val="28"/>
        </w:rPr>
        <w:lastRenderedPageBreak/>
        <w:t xml:space="preserve">TREND PREZZI E LOCAZIONI IMMOBILI PER L’IMPRESA </w:t>
      </w:r>
      <w:r>
        <w:rPr>
          <w:b/>
          <w:bCs/>
          <w:color w:val="C00000"/>
          <w:sz w:val="28"/>
          <w:szCs w:val="28"/>
        </w:rPr>
        <w:t>-</w:t>
      </w:r>
      <w:r w:rsidRPr="00373003">
        <w:rPr>
          <w:b/>
          <w:bCs/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FIRENZE</w:t>
      </w:r>
      <w:r w:rsidRPr="00373003">
        <w:rPr>
          <w:b/>
          <w:bCs/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PROVINCIA</w:t>
      </w:r>
    </w:p>
    <w:p w14:paraId="5C57FCFA" w14:textId="77777777" w:rsidR="008A050C" w:rsidRDefault="008A050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(</w:t>
      </w:r>
      <w:proofErr w:type="spellStart"/>
      <w:r>
        <w:rPr>
          <w:b/>
          <w:bCs/>
          <w:color w:val="C00000"/>
          <w:sz w:val="28"/>
          <w:szCs w:val="28"/>
        </w:rPr>
        <w:t>variazioni</w:t>
      </w:r>
      <w:proofErr w:type="spellEnd"/>
      <w:r>
        <w:rPr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b/>
          <w:bCs/>
          <w:color w:val="C00000"/>
          <w:sz w:val="28"/>
          <w:szCs w:val="28"/>
        </w:rPr>
        <w:t>percentuali</w:t>
      </w:r>
      <w:proofErr w:type="spellEnd"/>
      <w:r>
        <w:rPr>
          <w:b/>
          <w:bCs/>
          <w:color w:val="C00000"/>
          <w:sz w:val="28"/>
          <w:szCs w:val="28"/>
        </w:rPr>
        <w:t xml:space="preserve"> I </w:t>
      </w:r>
      <w:proofErr w:type="spellStart"/>
      <w:r>
        <w:rPr>
          <w:b/>
          <w:bCs/>
          <w:color w:val="C00000"/>
          <w:sz w:val="28"/>
          <w:szCs w:val="28"/>
        </w:rPr>
        <w:t>sem</w:t>
      </w:r>
      <w:proofErr w:type="spellEnd"/>
      <w:r>
        <w:rPr>
          <w:b/>
          <w:bCs/>
          <w:color w:val="C00000"/>
          <w:sz w:val="28"/>
          <w:szCs w:val="28"/>
        </w:rPr>
        <w:t xml:space="preserve"> 24 rispetto al II </w:t>
      </w:r>
      <w:proofErr w:type="spellStart"/>
      <w:r>
        <w:rPr>
          <w:b/>
          <w:bCs/>
          <w:color w:val="C00000"/>
          <w:sz w:val="28"/>
          <w:szCs w:val="28"/>
        </w:rPr>
        <w:t>sem</w:t>
      </w:r>
      <w:proofErr w:type="spellEnd"/>
      <w:r>
        <w:rPr>
          <w:b/>
          <w:bCs/>
          <w:color w:val="C00000"/>
          <w:sz w:val="28"/>
          <w:szCs w:val="28"/>
        </w:rPr>
        <w:t xml:space="preserve"> 23)</w:t>
      </w:r>
    </w:p>
    <w:p w14:paraId="660DA0AA" w14:textId="77777777" w:rsidR="008A050C" w:rsidRDefault="008A050C" w:rsidP="00ED42AA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06BF92E8" w14:textId="77777777" w:rsidR="008A050C" w:rsidRPr="008A050C" w:rsidRDefault="008A050C" w:rsidP="00ED42AA">
      <w:pPr>
        <w:spacing w:after="0"/>
        <w:jc w:val="both"/>
        <w:rPr>
          <w:b/>
          <w:bCs/>
          <w:color w:val="C00000"/>
        </w:rPr>
      </w:pPr>
      <w:r w:rsidRPr="008A050C">
        <w:rPr>
          <w:b/>
          <w:bCs/>
          <w:color w:val="C00000"/>
        </w:rPr>
        <w:t>CAPANNONI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  <w:gridCol w:w="1940"/>
        <w:gridCol w:w="1696"/>
      </w:tblGrid>
      <w:tr w:rsidR="008A050C" w14:paraId="2FC941C4" w14:textId="77777777" w:rsidTr="008C652A">
        <w:trPr>
          <w:gridBefore w:val="1"/>
          <w:wBefore w:w="1940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67371" w14:textId="17C6788D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 xml:space="preserve">Nuovo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vicino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alle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arterie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di 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comunicazione</w:t>
            </w:r>
            <w:proofErr w:type="spellEnd"/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7809B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 xml:space="preserve">Nuovo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lontano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dalle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arterie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comunicazione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D89E1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Usato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vicino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alle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arterie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comunicazione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7931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Usato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lang w:eastAsia="it-IT"/>
              </w:rPr>
              <w:t>lontano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dalle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arterie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comunicazione</w:t>
            </w:r>
            <w:proofErr w:type="spellEnd"/>
          </w:p>
        </w:tc>
      </w:tr>
      <w:tr w:rsidR="008A050C" w14:paraId="1468C62D" w14:textId="77777777" w:rsidTr="008C652A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CC46F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FF0000"/>
                <w:highlight w:val="yellow"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Prezzi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8B40F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Nd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08635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Nd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96229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-0,2%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7C6F8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3,1%</w:t>
            </w:r>
          </w:p>
        </w:tc>
      </w:tr>
      <w:tr w:rsidR="008A050C" w14:paraId="4C797E62" w14:textId="77777777" w:rsidTr="008C652A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7B07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Canoni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locazione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76460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2B6DA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Nd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DAC54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9,6%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8D1E8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</w:tr>
    </w:tbl>
    <w:p w14:paraId="6BF262EB" w14:textId="77777777" w:rsidR="008A050C" w:rsidRDefault="008A050C" w:rsidP="00ED42AA">
      <w:pPr>
        <w:spacing w:after="0"/>
        <w:jc w:val="both"/>
        <w:rPr>
          <w:rFonts w:eastAsia="Calibri" w:cs="Times New Roman"/>
        </w:rPr>
      </w:pPr>
    </w:p>
    <w:p w14:paraId="4CC9D219" w14:textId="77777777" w:rsidR="008A050C" w:rsidRPr="008A050C" w:rsidRDefault="008A050C" w:rsidP="00ED42AA">
      <w:pPr>
        <w:spacing w:after="0"/>
        <w:jc w:val="both"/>
        <w:rPr>
          <w:b/>
          <w:bCs/>
          <w:color w:val="C00000"/>
        </w:rPr>
      </w:pPr>
      <w:r w:rsidRPr="008A050C">
        <w:rPr>
          <w:b/>
          <w:bCs/>
          <w:color w:val="C00000"/>
        </w:rPr>
        <w:t xml:space="preserve">LABORATORI </w:t>
      </w:r>
    </w:p>
    <w:tbl>
      <w:tblPr>
        <w:tblW w:w="3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619"/>
      </w:tblGrid>
      <w:tr w:rsidR="008A050C" w14:paraId="15A530D3" w14:textId="77777777" w:rsidTr="008C652A">
        <w:trPr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DE551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Prezzi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34544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0%</w:t>
            </w:r>
          </w:p>
        </w:tc>
      </w:tr>
      <w:tr w:rsidR="008A050C" w14:paraId="202556FA" w14:textId="77777777" w:rsidTr="008C652A">
        <w:trPr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ED070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Canoni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locazione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F44F5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+0,8%</w:t>
            </w:r>
          </w:p>
        </w:tc>
      </w:tr>
    </w:tbl>
    <w:p w14:paraId="0BCD3A78" w14:textId="77777777" w:rsidR="008A050C" w:rsidRDefault="008A050C" w:rsidP="00ED42AA">
      <w:pPr>
        <w:spacing w:after="0"/>
        <w:jc w:val="both"/>
      </w:pPr>
    </w:p>
    <w:p w14:paraId="5B48C052" w14:textId="77777777" w:rsidR="008A050C" w:rsidRPr="008A050C" w:rsidRDefault="008A050C" w:rsidP="00ED42AA">
      <w:pPr>
        <w:spacing w:after="0"/>
        <w:jc w:val="both"/>
        <w:rPr>
          <w:b/>
          <w:bCs/>
          <w:color w:val="C00000"/>
        </w:rPr>
      </w:pPr>
      <w:r w:rsidRPr="008A050C">
        <w:rPr>
          <w:b/>
          <w:bCs/>
          <w:color w:val="C00000"/>
        </w:rPr>
        <w:t>NEGOZI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</w:tblGrid>
      <w:tr w:rsidR="008A050C" w14:paraId="055FC2B5" w14:textId="77777777" w:rsidTr="008C652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6E282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Negozi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C4B19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Vie di passaggio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EEEC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Vie non di passaggio</w:t>
            </w:r>
          </w:p>
        </w:tc>
      </w:tr>
      <w:tr w:rsidR="008A050C" w14:paraId="135466C5" w14:textId="77777777" w:rsidTr="008C652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D4D9B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Prezzi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70176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FD0A7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9D6D5B">
              <w:rPr>
                <w:rFonts w:eastAsia="Times New Roman" w:cs="Times New Roman"/>
                <w:lang w:eastAsia="it-IT"/>
              </w:rPr>
              <w:t>0%</w:t>
            </w:r>
          </w:p>
        </w:tc>
      </w:tr>
      <w:tr w:rsidR="008A050C" w14:paraId="051B18DD" w14:textId="77777777" w:rsidTr="008C652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4DB6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Canoni</w:t>
            </w:r>
            <w:proofErr w:type="spellEnd"/>
            <w:r>
              <w:rPr>
                <w:rFonts w:eastAsia="Times New Roman" w:cs="Times New Roman"/>
                <w:b/>
                <w:bCs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bCs/>
                <w:lang w:eastAsia="it-IT"/>
              </w:rPr>
              <w:t>locazione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D1728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+6,7%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E43C7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9D6D5B">
              <w:rPr>
                <w:rFonts w:eastAsia="Times New Roman" w:cs="Times New Roman"/>
                <w:lang w:eastAsia="it-IT"/>
              </w:rPr>
              <w:t>0%</w:t>
            </w:r>
          </w:p>
        </w:tc>
      </w:tr>
    </w:tbl>
    <w:p w14:paraId="40B80705" w14:textId="77777777" w:rsidR="008A050C" w:rsidRDefault="008A050C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</w:p>
    <w:p w14:paraId="6EC5B4ED" w14:textId="77777777" w:rsidR="008A050C" w:rsidRPr="008A050C" w:rsidRDefault="008A050C" w:rsidP="00ED42AA">
      <w:pPr>
        <w:spacing w:after="0"/>
        <w:jc w:val="both"/>
        <w:rPr>
          <w:b/>
          <w:bCs/>
          <w:color w:val="C00000"/>
        </w:rPr>
      </w:pPr>
      <w:r w:rsidRPr="008A050C">
        <w:rPr>
          <w:b/>
          <w:bCs/>
          <w:color w:val="C00000"/>
        </w:rPr>
        <w:t xml:space="preserve">UFFICI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03"/>
        <w:gridCol w:w="2126"/>
        <w:gridCol w:w="1843"/>
        <w:gridCol w:w="1842"/>
      </w:tblGrid>
      <w:tr w:rsidR="008A050C" w14:paraId="051064FA" w14:textId="77777777" w:rsidTr="008C652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ADD23" w14:textId="4FAF6BC6" w:rsidR="008A050C" w:rsidRDefault="008A050C" w:rsidP="00D8198C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Uffici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25710" w14:textId="77777777" w:rsidR="008A050C" w:rsidRDefault="008A050C" w:rsidP="00D8198C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Nuovo in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centri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direzionali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2E85E" w14:textId="77777777" w:rsidR="008A050C" w:rsidRDefault="008A050C" w:rsidP="00D8198C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Nuovo in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palazzine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residenziali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12AC" w14:textId="77777777" w:rsidR="008A050C" w:rsidRDefault="008A050C" w:rsidP="00D8198C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Usato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centri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direzionali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E36FE" w14:textId="77777777" w:rsidR="008A050C" w:rsidRDefault="008A050C" w:rsidP="00D8198C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Usato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palazzine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residenziali</w:t>
            </w:r>
            <w:proofErr w:type="spellEnd"/>
          </w:p>
        </w:tc>
      </w:tr>
      <w:tr w:rsidR="008A050C" w14:paraId="4123C962" w14:textId="77777777" w:rsidTr="008C652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E6EDC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Prezzi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FE16C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7AB3F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186E0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003EF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Nd</w:t>
            </w:r>
          </w:p>
        </w:tc>
      </w:tr>
      <w:tr w:rsidR="008A050C" w14:paraId="305C2180" w14:textId="77777777" w:rsidTr="008C652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17B1D" w14:textId="77777777" w:rsidR="008A050C" w:rsidRDefault="008A050C" w:rsidP="00ED42AA">
            <w:pPr>
              <w:spacing w:after="0"/>
              <w:jc w:val="both"/>
              <w:rPr>
                <w:rFonts w:eastAsia="Times New Roman" w:cs="Times New Roman"/>
                <w:b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lang w:eastAsia="it-IT"/>
              </w:rPr>
              <w:t>Canoni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locazione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CB818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F18CD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7777E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002E6" w14:textId="77777777" w:rsidR="008A050C" w:rsidRDefault="008A050C" w:rsidP="00ED42AA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Nd</w:t>
            </w:r>
          </w:p>
        </w:tc>
      </w:tr>
    </w:tbl>
    <w:p w14:paraId="597DED36" w14:textId="77777777" w:rsidR="008A050C" w:rsidRDefault="008A050C" w:rsidP="00ED42AA">
      <w:pPr>
        <w:spacing w:after="0"/>
        <w:jc w:val="both"/>
      </w:pPr>
    </w:p>
    <w:p w14:paraId="3AB5E2AC" w14:textId="77777777" w:rsidR="008A050C" w:rsidRPr="00740261" w:rsidRDefault="008A050C" w:rsidP="00ED42AA">
      <w:pPr>
        <w:spacing w:after="0"/>
        <w:jc w:val="both"/>
        <w:rPr>
          <w:rFonts w:eastAsiaTheme="minorEastAsia" w:cstheme="minorHAnsi"/>
          <w:sz w:val="24"/>
          <w:szCs w:val="24"/>
          <w:lang w:val="it-IT" w:eastAsia="it-IT"/>
        </w:rPr>
      </w:pPr>
    </w:p>
    <w:sectPr w:rsidR="008A050C" w:rsidRPr="00740261" w:rsidSect="00ED42A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58B0" w14:textId="77777777" w:rsidR="0093552F" w:rsidRDefault="0093552F" w:rsidP="00740261">
      <w:pPr>
        <w:spacing w:after="0" w:line="240" w:lineRule="auto"/>
      </w:pPr>
      <w:r>
        <w:separator/>
      </w:r>
    </w:p>
  </w:endnote>
  <w:endnote w:type="continuationSeparator" w:id="0">
    <w:p w14:paraId="4866BF98" w14:textId="77777777" w:rsidR="0093552F" w:rsidRDefault="0093552F" w:rsidP="0074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3FDB" w14:textId="77777777" w:rsidR="00740261" w:rsidRPr="00373003" w:rsidRDefault="00740261" w:rsidP="00740261">
    <w:pPr>
      <w:pStyle w:val="Pidipagina"/>
      <w:jc w:val="right"/>
      <w:rPr>
        <w:b/>
        <w:bCs/>
        <w:i/>
        <w:iCs/>
      </w:rPr>
    </w:pPr>
    <w:r w:rsidRPr="00373003">
      <w:rPr>
        <w:b/>
        <w:bCs/>
        <w:i/>
        <w:iCs/>
      </w:rPr>
      <w:t>Fonte: Ufficio Studi Gruppo Tecnocasa</w:t>
    </w:r>
  </w:p>
  <w:p w14:paraId="4AD67113" w14:textId="77777777" w:rsidR="00740261" w:rsidRDefault="007402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CB8D9" w14:textId="77777777" w:rsidR="0093552F" w:rsidRDefault="0093552F" w:rsidP="00740261">
      <w:pPr>
        <w:spacing w:after="0" w:line="240" w:lineRule="auto"/>
      </w:pPr>
      <w:r>
        <w:separator/>
      </w:r>
    </w:p>
  </w:footnote>
  <w:footnote w:type="continuationSeparator" w:id="0">
    <w:p w14:paraId="671AC316" w14:textId="77777777" w:rsidR="0093552F" w:rsidRDefault="0093552F" w:rsidP="0074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C4B6" w14:textId="2F8213D1" w:rsidR="00740261" w:rsidRPr="00165586" w:rsidRDefault="00740261" w:rsidP="00740261">
    <w:pPr>
      <w:pStyle w:val="Intestazione"/>
      <w:rPr>
        <w:b/>
        <w:bCs/>
        <w:color w:val="C00000"/>
        <w:sz w:val="24"/>
        <w:szCs w:val="24"/>
      </w:rPr>
    </w:pPr>
    <w:r>
      <w:rPr>
        <w:noProof/>
      </w:rPr>
      <w:drawing>
        <wp:inline distT="0" distB="0" distL="0" distR="0" wp14:anchorId="13DA3730" wp14:editId="3583E156">
          <wp:extent cx="1431290" cy="437515"/>
          <wp:effectExtent l="0" t="0" r="0" b="635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8198C">
      <w:t xml:space="preserve">            </w:t>
    </w:r>
    <w:r>
      <w:t xml:space="preserve">     </w:t>
    </w:r>
    <w:r w:rsidRPr="00165586">
      <w:rPr>
        <w:b/>
        <w:bCs/>
        <w:color w:val="C00000"/>
        <w:sz w:val="24"/>
        <w:szCs w:val="24"/>
      </w:rPr>
      <w:t>CONFERENZA STAMPA IMMOBILI PER L’IMPRESA 04.12.24</w:t>
    </w:r>
  </w:p>
  <w:p w14:paraId="73F1405E" w14:textId="77777777" w:rsidR="00740261" w:rsidRPr="00D8198C" w:rsidRDefault="00740261">
    <w:pPr>
      <w:pStyle w:val="Intestazion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64195"/>
    <w:multiLevelType w:val="hybridMultilevel"/>
    <w:tmpl w:val="E702C284"/>
    <w:lvl w:ilvl="0" w:tplc="86E8E50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24627"/>
    <w:multiLevelType w:val="hybridMultilevel"/>
    <w:tmpl w:val="25267E90"/>
    <w:lvl w:ilvl="0" w:tplc="EB8A9EE4">
      <w:numFmt w:val="bullet"/>
      <w:lvlText w:val="-"/>
      <w:lvlJc w:val="left"/>
      <w:pPr>
        <w:ind w:left="7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171027448">
    <w:abstractNumId w:val="1"/>
  </w:num>
  <w:num w:numId="2" w16cid:durableId="192140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D8"/>
    <w:rsid w:val="00027222"/>
    <w:rsid w:val="00046ED5"/>
    <w:rsid w:val="00076669"/>
    <w:rsid w:val="000E1A71"/>
    <w:rsid w:val="00107BB0"/>
    <w:rsid w:val="00161BCC"/>
    <w:rsid w:val="0018296D"/>
    <w:rsid w:val="00231F63"/>
    <w:rsid w:val="00233E7A"/>
    <w:rsid w:val="002A0854"/>
    <w:rsid w:val="00301D67"/>
    <w:rsid w:val="0032073F"/>
    <w:rsid w:val="00374DB6"/>
    <w:rsid w:val="004300D7"/>
    <w:rsid w:val="00455B54"/>
    <w:rsid w:val="00457B75"/>
    <w:rsid w:val="0046301E"/>
    <w:rsid w:val="0046728C"/>
    <w:rsid w:val="0048311F"/>
    <w:rsid w:val="004A1F74"/>
    <w:rsid w:val="004E42FE"/>
    <w:rsid w:val="0051641D"/>
    <w:rsid w:val="00520F66"/>
    <w:rsid w:val="005305E7"/>
    <w:rsid w:val="00597E32"/>
    <w:rsid w:val="005D6ED8"/>
    <w:rsid w:val="006D0810"/>
    <w:rsid w:val="006D57F9"/>
    <w:rsid w:val="00740261"/>
    <w:rsid w:val="007419F5"/>
    <w:rsid w:val="00796579"/>
    <w:rsid w:val="007969FD"/>
    <w:rsid w:val="008844BC"/>
    <w:rsid w:val="008876C6"/>
    <w:rsid w:val="008A050C"/>
    <w:rsid w:val="00902279"/>
    <w:rsid w:val="0093552F"/>
    <w:rsid w:val="009C399C"/>
    <w:rsid w:val="00AF6476"/>
    <w:rsid w:val="00BE7F53"/>
    <w:rsid w:val="00C92A8C"/>
    <w:rsid w:val="00CB1891"/>
    <w:rsid w:val="00CC69BC"/>
    <w:rsid w:val="00CD7ACE"/>
    <w:rsid w:val="00D043D2"/>
    <w:rsid w:val="00D54BC0"/>
    <w:rsid w:val="00D5646E"/>
    <w:rsid w:val="00D8198C"/>
    <w:rsid w:val="00DB6C9B"/>
    <w:rsid w:val="00E40063"/>
    <w:rsid w:val="00E51318"/>
    <w:rsid w:val="00E745A1"/>
    <w:rsid w:val="00ED42AA"/>
    <w:rsid w:val="00F72E8E"/>
    <w:rsid w:val="00F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C273"/>
  <w15:chartTrackingRefBased/>
  <w15:docId w15:val="{74DEF036-32A5-4CF4-AB1E-0032DA26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50C"/>
  </w:style>
  <w:style w:type="paragraph" w:styleId="Titolo1">
    <w:name w:val="heading 1"/>
    <w:basedOn w:val="Normale"/>
    <w:next w:val="Normale"/>
    <w:link w:val="Titolo1Carattere"/>
    <w:uiPriority w:val="9"/>
    <w:qFormat/>
    <w:rsid w:val="005D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6E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6E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6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6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6E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6ED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6ED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6E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6E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6E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6E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6E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6E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6ED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6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6ED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6ED8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40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261"/>
  </w:style>
  <w:style w:type="paragraph" w:styleId="Pidipagina">
    <w:name w:val="footer"/>
    <w:basedOn w:val="Normale"/>
    <w:link w:val="PidipaginaCarattere"/>
    <w:uiPriority w:val="99"/>
    <w:unhideWhenUsed/>
    <w:rsid w:val="00740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Birignani</dc:creator>
  <cp:keywords/>
  <dc:description/>
  <cp:lastModifiedBy>Silvia Spadini</cp:lastModifiedBy>
  <cp:revision>4</cp:revision>
  <cp:lastPrinted>2024-12-03T15:35:00Z</cp:lastPrinted>
  <dcterms:created xsi:type="dcterms:W3CDTF">2024-11-14T11:05:00Z</dcterms:created>
  <dcterms:modified xsi:type="dcterms:W3CDTF">2024-12-03T15:35:00Z</dcterms:modified>
</cp:coreProperties>
</file>